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B5AFE5" w14:textId="612D9210" w:rsidR="005A680C" w:rsidRPr="00CA6965" w:rsidRDefault="005A680C" w:rsidP="005A680C">
      <w:pPr>
        <w:tabs>
          <w:tab w:val="left" w:pos="1701"/>
          <w:tab w:val="right" w:pos="9923"/>
        </w:tabs>
        <w:spacing w:before="120"/>
        <w:jc w:val="left"/>
        <w:rPr>
          <w:rFonts w:ascii="Arial" w:eastAsia="MS Mincho" w:hAnsi="Arial" w:cs="Arial"/>
          <w:b/>
          <w:sz w:val="24"/>
          <w:szCs w:val="24"/>
          <w:lang w:val="de-DE" w:eastAsia="x-none"/>
        </w:rPr>
      </w:pPr>
      <w:bookmarkStart w:id="0" w:name="_Hlk92532984"/>
      <w:bookmarkStart w:id="1" w:name="_Hlk92532994"/>
      <w:bookmarkStart w:id="2" w:name="_Hlk92532973"/>
      <w:bookmarkStart w:id="3" w:name="_Hlk92532926"/>
      <w:bookmarkStart w:id="4" w:name="_Hlk92533107"/>
      <w:r w:rsidRPr="00CA6965">
        <w:rPr>
          <w:rFonts w:ascii="Arial" w:eastAsia="MS Mincho" w:hAnsi="Arial" w:cs="Arial"/>
          <w:b/>
          <w:sz w:val="24"/>
          <w:szCs w:val="24"/>
          <w:lang w:val="de-DE" w:eastAsia="x-none"/>
        </w:rPr>
        <w:t>3GPP TSG-RAN WG2 Meeting #</w:t>
      </w:r>
      <w:r>
        <w:rPr>
          <w:rFonts w:ascii="Arial" w:eastAsia="MS Mincho" w:hAnsi="Arial" w:cs="Arial"/>
          <w:b/>
          <w:sz w:val="24"/>
          <w:szCs w:val="24"/>
          <w:lang w:val="de-DE" w:eastAsia="x-none"/>
        </w:rPr>
        <w:t>12</w:t>
      </w:r>
      <w:r w:rsidR="005A4CFB">
        <w:rPr>
          <w:rFonts w:ascii="Arial" w:eastAsia="MS Mincho" w:hAnsi="Arial" w:cs="Arial"/>
          <w:b/>
          <w:sz w:val="24"/>
          <w:szCs w:val="24"/>
          <w:lang w:val="de-DE" w:eastAsia="x-none"/>
        </w:rPr>
        <w:t>2</w:t>
      </w:r>
      <w:r w:rsidRPr="00CA6965">
        <w:rPr>
          <w:rFonts w:ascii="Arial" w:eastAsia="MS Mincho" w:hAnsi="Arial" w:cs="Arial"/>
          <w:b/>
          <w:sz w:val="24"/>
          <w:szCs w:val="24"/>
          <w:lang w:val="de-DE" w:eastAsia="x-none"/>
        </w:rPr>
        <w:tab/>
        <w:t>R2-</w:t>
      </w:r>
      <w:r w:rsidR="005A4CFB" w:rsidRPr="005A4CFB">
        <w:rPr>
          <w:rFonts w:ascii="Arial" w:eastAsia="MS Mincho" w:hAnsi="Arial" w:cs="Arial"/>
          <w:b/>
          <w:sz w:val="24"/>
          <w:szCs w:val="24"/>
          <w:lang w:val="de-DE" w:eastAsia="x-none"/>
        </w:rPr>
        <w:t>2305339</w:t>
      </w:r>
    </w:p>
    <w:p w14:paraId="1F3AE544" w14:textId="77777777" w:rsidR="005A4CFB" w:rsidRPr="00CA6965" w:rsidRDefault="005A4CFB" w:rsidP="005A4CFB">
      <w:pPr>
        <w:widowControl/>
        <w:tabs>
          <w:tab w:val="left" w:pos="1979"/>
        </w:tabs>
        <w:spacing w:after="180"/>
        <w:jc w:val="left"/>
        <w:rPr>
          <w:rFonts w:ascii="Arial" w:eastAsia="Tahoma" w:hAnsi="Arial" w:cs="Arial"/>
          <w:b/>
          <w:bCs/>
          <w:kern w:val="0"/>
          <w:sz w:val="24"/>
          <w:szCs w:val="24"/>
        </w:rPr>
      </w:pPr>
      <w:r w:rsidRPr="00CA6965">
        <w:rPr>
          <w:rFonts w:ascii="Arial" w:hAnsi="Arial" w:cs="Arial"/>
          <w:b/>
          <w:bCs/>
          <w:kern w:val="0"/>
          <w:sz w:val="24"/>
          <w:szCs w:val="24"/>
        </w:rPr>
        <w:t>I</w:t>
      </w:r>
      <w:r w:rsidRPr="00CA6965">
        <w:rPr>
          <w:rFonts w:ascii="Arial" w:eastAsia="Tahoma" w:hAnsi="Arial" w:cs="Arial"/>
          <w:b/>
          <w:bCs/>
          <w:kern w:val="0"/>
          <w:sz w:val="24"/>
          <w:szCs w:val="24"/>
        </w:rPr>
        <w:t>ncheon, Korea, 22</w:t>
      </w:r>
      <w:r w:rsidRPr="00CA6965">
        <w:rPr>
          <w:rFonts w:ascii="Arial" w:eastAsia="Tahoma" w:hAnsi="Arial" w:cs="Arial"/>
          <w:b/>
          <w:bCs/>
          <w:kern w:val="0"/>
          <w:sz w:val="24"/>
          <w:szCs w:val="24"/>
          <w:vertAlign w:val="superscript"/>
        </w:rPr>
        <w:t>th</w:t>
      </w:r>
      <w:r w:rsidRPr="00CA6965">
        <w:rPr>
          <w:rFonts w:ascii="Arial" w:eastAsia="Tahoma" w:hAnsi="Arial" w:cs="Arial"/>
          <w:b/>
          <w:bCs/>
          <w:kern w:val="0"/>
          <w:sz w:val="24"/>
          <w:szCs w:val="24"/>
        </w:rPr>
        <w:t xml:space="preserve"> May – 26</w:t>
      </w:r>
      <w:r w:rsidRPr="00CA6965">
        <w:rPr>
          <w:rFonts w:ascii="Arial" w:eastAsia="Tahoma" w:hAnsi="Arial" w:cs="Arial"/>
          <w:b/>
          <w:bCs/>
          <w:kern w:val="0"/>
          <w:sz w:val="24"/>
          <w:szCs w:val="24"/>
          <w:vertAlign w:val="superscript"/>
        </w:rPr>
        <w:t>th</w:t>
      </w:r>
      <w:r w:rsidRPr="00CA6965">
        <w:rPr>
          <w:rFonts w:ascii="Arial" w:eastAsia="Tahoma" w:hAnsi="Arial" w:cs="Arial"/>
          <w:b/>
          <w:bCs/>
          <w:kern w:val="0"/>
          <w:sz w:val="24"/>
          <w:szCs w:val="24"/>
        </w:rPr>
        <w:t xml:space="preserve"> May, 2023</w:t>
      </w:r>
    </w:p>
    <w:bookmarkEnd w:id="0"/>
    <w:p w14:paraId="78B68DCC" w14:textId="77777777" w:rsidR="00541641" w:rsidRPr="00D8388D" w:rsidRDefault="00541641" w:rsidP="00F27036">
      <w:pPr>
        <w:widowControl/>
        <w:tabs>
          <w:tab w:val="left" w:pos="1800"/>
          <w:tab w:val="right" w:pos="9072"/>
        </w:tabs>
        <w:spacing w:after="60"/>
        <w:ind w:left="1800" w:hanging="1800"/>
        <w:jc w:val="left"/>
        <w:rPr>
          <w:rFonts w:ascii="Arial" w:eastAsia="宋体" w:hAnsi="Arial" w:cs="Times New Roman"/>
          <w:b/>
          <w:kern w:val="0"/>
          <w:sz w:val="22"/>
          <w:szCs w:val="22"/>
        </w:rPr>
      </w:pPr>
      <w:r w:rsidRPr="00D8388D">
        <w:rPr>
          <w:rFonts w:ascii="Arial" w:eastAsia="宋体" w:hAnsi="Arial" w:cs="Times New Roman"/>
          <w:b/>
          <w:kern w:val="0"/>
          <w:sz w:val="22"/>
          <w:szCs w:val="22"/>
        </w:rPr>
        <w:t>Source:</w:t>
      </w:r>
      <w:r w:rsidRPr="00D8388D">
        <w:rPr>
          <w:rFonts w:ascii="Arial" w:eastAsia="宋体" w:hAnsi="Arial" w:cs="Times New Roman"/>
          <w:b/>
          <w:kern w:val="0"/>
          <w:sz w:val="22"/>
          <w:szCs w:val="22"/>
        </w:rPr>
        <w:tab/>
      </w:r>
      <w:r w:rsidRPr="00D8388D">
        <w:rPr>
          <w:rFonts w:ascii="Arial" w:eastAsia="MS Mincho" w:hAnsi="Arial" w:cs="Times New Roman"/>
          <w:b/>
          <w:kern w:val="0"/>
          <w:sz w:val="22"/>
          <w:szCs w:val="22"/>
          <w:lang w:eastAsia="en-US"/>
        </w:rPr>
        <w:t>vivo</w:t>
      </w:r>
    </w:p>
    <w:bookmarkEnd w:id="1"/>
    <w:p w14:paraId="0E6AB523" w14:textId="6AC246C4" w:rsidR="00541641" w:rsidRDefault="00541641" w:rsidP="00F27036">
      <w:pPr>
        <w:widowControl/>
        <w:tabs>
          <w:tab w:val="left" w:pos="1800"/>
          <w:tab w:val="center" w:pos="4536"/>
          <w:tab w:val="right" w:pos="9072"/>
        </w:tabs>
        <w:spacing w:after="60"/>
        <w:ind w:left="1798" w:hangingChars="814" w:hanging="1798"/>
        <w:jc w:val="left"/>
        <w:rPr>
          <w:rFonts w:ascii="Arial" w:eastAsia="宋体" w:hAnsi="Arial" w:cs="Times New Roman"/>
          <w:b/>
          <w:kern w:val="0"/>
          <w:sz w:val="22"/>
          <w:szCs w:val="22"/>
        </w:rPr>
      </w:pPr>
      <w:r w:rsidRPr="00D8388D">
        <w:rPr>
          <w:rFonts w:ascii="Arial" w:eastAsia="宋体" w:hAnsi="Arial" w:cs="Times New Roman"/>
          <w:b/>
          <w:kern w:val="0"/>
          <w:sz w:val="22"/>
          <w:szCs w:val="22"/>
        </w:rPr>
        <w:t>Title:</w:t>
      </w:r>
      <w:r w:rsidRPr="00D8388D">
        <w:rPr>
          <w:rFonts w:ascii="Arial" w:eastAsia="宋体" w:hAnsi="Arial" w:cs="Times New Roman"/>
          <w:b/>
          <w:kern w:val="0"/>
          <w:sz w:val="22"/>
          <w:szCs w:val="22"/>
        </w:rPr>
        <w:tab/>
      </w:r>
      <w:r w:rsidR="005A4CFB" w:rsidRPr="005A4CFB">
        <w:rPr>
          <w:rFonts w:ascii="Arial" w:eastAsia="宋体" w:hAnsi="Arial" w:cs="Times New Roman"/>
          <w:b/>
          <w:kern w:val="0"/>
          <w:sz w:val="22"/>
          <w:szCs w:val="22"/>
        </w:rPr>
        <w:t>discussion on UL tx switching</w:t>
      </w:r>
    </w:p>
    <w:p w14:paraId="5F39BD48" w14:textId="1A6D7C64" w:rsidR="00CF4EDB" w:rsidRPr="00D8388D" w:rsidRDefault="00CF4EDB" w:rsidP="00F27036">
      <w:pPr>
        <w:widowControl/>
        <w:tabs>
          <w:tab w:val="left" w:pos="1800"/>
          <w:tab w:val="center" w:pos="4536"/>
          <w:tab w:val="right" w:pos="9072"/>
        </w:tabs>
        <w:spacing w:after="60"/>
        <w:ind w:left="1798" w:hangingChars="814" w:hanging="1798"/>
        <w:jc w:val="left"/>
        <w:rPr>
          <w:rFonts w:ascii="Arial" w:eastAsia="MS Mincho" w:hAnsi="Arial" w:cs="Times New Roman"/>
          <w:b/>
          <w:kern w:val="0"/>
          <w:sz w:val="22"/>
          <w:szCs w:val="22"/>
          <w:lang w:eastAsia="en-US"/>
        </w:rPr>
      </w:pPr>
      <w:r w:rsidRPr="00D8388D">
        <w:rPr>
          <w:rFonts w:ascii="Arial" w:eastAsia="宋体" w:hAnsi="Arial" w:cs="Times New Roman"/>
          <w:b/>
          <w:kern w:val="0"/>
          <w:sz w:val="22"/>
          <w:szCs w:val="22"/>
        </w:rPr>
        <w:t>Agenda Item:</w:t>
      </w:r>
      <w:r w:rsidRPr="00D8388D">
        <w:rPr>
          <w:rFonts w:ascii="Arial" w:eastAsia="宋体" w:hAnsi="Arial" w:cs="Times New Roman"/>
          <w:b/>
          <w:kern w:val="0"/>
          <w:sz w:val="22"/>
          <w:szCs w:val="22"/>
        </w:rPr>
        <w:tab/>
      </w:r>
      <w:r w:rsidR="005A4CFB">
        <w:rPr>
          <w:rFonts w:ascii="Arial" w:eastAsia="宋体" w:hAnsi="Arial" w:cs="Times New Roman"/>
          <w:b/>
          <w:kern w:val="0"/>
          <w:sz w:val="22"/>
          <w:szCs w:val="22"/>
        </w:rPr>
        <w:t>7</w:t>
      </w:r>
      <w:r>
        <w:rPr>
          <w:rFonts w:ascii="Arial" w:eastAsia="宋体" w:hAnsi="Arial" w:cs="Times New Roman"/>
          <w:b/>
          <w:kern w:val="0"/>
          <w:sz w:val="22"/>
          <w:szCs w:val="22"/>
        </w:rPr>
        <w:t>.</w:t>
      </w:r>
      <w:r w:rsidR="005A4CFB">
        <w:rPr>
          <w:rFonts w:ascii="Arial" w:eastAsia="宋体" w:hAnsi="Arial" w:cs="Times New Roman"/>
          <w:b/>
          <w:kern w:val="0"/>
          <w:sz w:val="22"/>
          <w:szCs w:val="22"/>
        </w:rPr>
        <w:t>25</w:t>
      </w:r>
      <w:r>
        <w:rPr>
          <w:rFonts w:ascii="Arial" w:eastAsia="宋体" w:hAnsi="Arial" w:cs="Times New Roman"/>
          <w:b/>
          <w:kern w:val="0"/>
          <w:sz w:val="22"/>
          <w:szCs w:val="22"/>
        </w:rPr>
        <w:t>.</w:t>
      </w:r>
      <w:r w:rsidR="005A4CFB">
        <w:rPr>
          <w:rFonts w:ascii="Arial" w:eastAsia="宋体" w:hAnsi="Arial" w:cs="Times New Roman"/>
          <w:b/>
          <w:kern w:val="0"/>
          <w:sz w:val="22"/>
          <w:szCs w:val="22"/>
        </w:rPr>
        <w:t>2</w:t>
      </w:r>
    </w:p>
    <w:bookmarkEnd w:id="2"/>
    <w:p w14:paraId="2EB3B417" w14:textId="77777777" w:rsidR="00541641" w:rsidRPr="00541641" w:rsidRDefault="00541641" w:rsidP="00F27036">
      <w:pPr>
        <w:widowControl/>
        <w:tabs>
          <w:tab w:val="left" w:pos="1800"/>
          <w:tab w:val="center" w:pos="4536"/>
          <w:tab w:val="right" w:pos="9072"/>
        </w:tabs>
        <w:jc w:val="left"/>
        <w:rPr>
          <w:rFonts w:ascii="Arial" w:eastAsia="宋体" w:hAnsi="Arial" w:cs="Times New Roman"/>
          <w:b/>
          <w:kern w:val="0"/>
          <w:sz w:val="22"/>
          <w:szCs w:val="24"/>
        </w:rPr>
      </w:pPr>
      <w:r w:rsidRPr="00D8388D">
        <w:rPr>
          <w:rFonts w:ascii="Arial" w:eastAsia="宋体" w:hAnsi="Arial" w:cs="Times New Roman"/>
          <w:b/>
          <w:kern w:val="0"/>
          <w:sz w:val="22"/>
          <w:szCs w:val="22"/>
        </w:rPr>
        <w:t>Document for:</w:t>
      </w:r>
      <w:r w:rsidRPr="00D8388D">
        <w:rPr>
          <w:rFonts w:ascii="Arial" w:eastAsia="宋体" w:hAnsi="Arial" w:cs="Times New Roman"/>
          <w:b/>
          <w:kern w:val="0"/>
          <w:sz w:val="22"/>
          <w:szCs w:val="22"/>
        </w:rPr>
        <w:tab/>
        <w:t>Discussion and Decision</w:t>
      </w:r>
    </w:p>
    <w:bookmarkEnd w:id="3"/>
    <w:bookmarkEnd w:id="4"/>
    <w:p w14:paraId="2A15DB04" w14:textId="249FCF6E" w:rsidR="00541641" w:rsidRDefault="00541641" w:rsidP="00541641">
      <w:pPr>
        <w:pBdr>
          <w:bottom w:val="single" w:sz="12" w:space="1" w:color="auto"/>
        </w:pBdr>
      </w:pPr>
    </w:p>
    <w:p w14:paraId="6DACAADA" w14:textId="4EEA623E" w:rsidR="004D0653" w:rsidRDefault="00541641" w:rsidP="00541641">
      <w:pPr>
        <w:pStyle w:val="1"/>
      </w:pPr>
      <w:bookmarkStart w:id="5" w:name="_Hlk92533719"/>
      <w:r w:rsidRPr="00541641">
        <w:t>Introduction</w:t>
      </w:r>
      <w:bookmarkEnd w:id="5"/>
    </w:p>
    <w:p w14:paraId="1FA6579C" w14:textId="2BD6E08F" w:rsidR="00541641" w:rsidRDefault="00541641" w:rsidP="003777D8">
      <w:pPr>
        <w:spacing w:before="120"/>
      </w:pPr>
      <w:bookmarkStart w:id="6" w:name="_Hlk92533704"/>
      <w:r>
        <w:rPr>
          <w:rFonts w:eastAsia="宋体"/>
        </w:rPr>
        <w:t>In this contribution</w:t>
      </w:r>
      <w:r w:rsidR="00A93A63">
        <w:rPr>
          <w:rFonts w:eastAsia="宋体"/>
        </w:rPr>
        <w:t>,</w:t>
      </w:r>
      <w:r>
        <w:rPr>
          <w:rFonts w:eastAsia="宋体"/>
        </w:rPr>
        <w:t xml:space="preserve"> we will </w:t>
      </w:r>
      <w:r w:rsidR="005A4CFB">
        <w:rPr>
          <w:rFonts w:eastAsia="宋体"/>
        </w:rPr>
        <w:t xml:space="preserve">discuss the leftover issues in RAN2 for </w:t>
      </w:r>
      <w:r w:rsidR="005A4CFB" w:rsidRPr="005A4CFB">
        <w:rPr>
          <w:rFonts w:eastAsia="宋体"/>
        </w:rPr>
        <w:t>UL tx switching</w:t>
      </w:r>
      <w:r>
        <w:t>.</w:t>
      </w:r>
      <w:bookmarkEnd w:id="6"/>
    </w:p>
    <w:p w14:paraId="2F96FEB6" w14:textId="77777777" w:rsidR="00541641" w:rsidRPr="00541641" w:rsidRDefault="00541641" w:rsidP="00541641">
      <w:pPr>
        <w:pBdr>
          <w:bottom w:val="single" w:sz="12" w:space="1" w:color="auto"/>
        </w:pBdr>
      </w:pPr>
    </w:p>
    <w:p w14:paraId="1B94B449" w14:textId="66B18966" w:rsidR="00541641" w:rsidRDefault="00541641" w:rsidP="00541641">
      <w:pPr>
        <w:pStyle w:val="1"/>
      </w:pPr>
      <w:r>
        <w:t>Discussion</w:t>
      </w:r>
    </w:p>
    <w:p w14:paraId="43F0F814" w14:textId="4B5EBA59" w:rsidR="00541641" w:rsidRDefault="005A4CFB" w:rsidP="00541641">
      <w:pPr>
        <w:pStyle w:val="2"/>
      </w:pPr>
      <w:r>
        <w:t>UE capability reporting</w:t>
      </w:r>
    </w:p>
    <w:p w14:paraId="0C1FC03A" w14:textId="3C803EDB" w:rsidR="005A4CFB" w:rsidRPr="005A4CFB" w:rsidRDefault="00E96CEE" w:rsidP="005A4CFB">
      <w:pPr>
        <w:pStyle w:val="3"/>
      </w:pPr>
      <w:r>
        <w:t>S</w:t>
      </w:r>
      <w:r w:rsidR="005A4CFB">
        <w:t>witching period reporting for 1T-1T</w:t>
      </w:r>
    </w:p>
    <w:p w14:paraId="69DF218C" w14:textId="6299F67B" w:rsidR="00A2414B" w:rsidRDefault="002E426F" w:rsidP="00B3204D">
      <w:pPr>
        <w:spacing w:after="120"/>
        <w:rPr>
          <w:rFonts w:cs="Times New Roman"/>
        </w:rPr>
      </w:pPr>
      <w:r>
        <w:rPr>
          <w:rFonts w:cs="Times New Roman"/>
        </w:rPr>
        <w:t xml:space="preserve">During </w:t>
      </w:r>
      <w:r w:rsidR="005A4CFB" w:rsidRPr="00165DE6">
        <w:rPr>
          <w:rFonts w:cs="Times New Roman"/>
        </w:rPr>
        <w:t>RAN4 #106</w:t>
      </w:r>
      <w:r>
        <w:rPr>
          <w:rFonts w:cs="Times New Roman"/>
        </w:rPr>
        <w:t xml:space="preserve"> meeting, the following agreement was made</w:t>
      </w:r>
      <w:r w:rsidR="005A4CFB">
        <w:rPr>
          <w:rFonts w:cs="Times New Roman"/>
        </w:rPr>
        <w:t xml:space="preserve"> </w:t>
      </w:r>
      <w:r w:rsidR="00E96CEE">
        <w:rPr>
          <w:rFonts w:cs="Times New Roman"/>
        </w:rPr>
        <w:t>according the LS</w:t>
      </w:r>
      <w:r w:rsidR="005A4CFB">
        <w:rPr>
          <w:rFonts w:cs="Times New Roman"/>
        </w:rPr>
        <w:t>[1]:</w:t>
      </w:r>
    </w:p>
    <w:tbl>
      <w:tblPr>
        <w:tblStyle w:val="a7"/>
        <w:tblW w:w="0" w:type="auto"/>
        <w:tblLook w:val="04A0" w:firstRow="1" w:lastRow="0" w:firstColumn="1" w:lastColumn="0" w:noHBand="0" w:noVBand="1"/>
      </w:tblPr>
      <w:tblGrid>
        <w:gridCol w:w="9628"/>
      </w:tblGrid>
      <w:tr w:rsidR="005A4CFB" w14:paraId="7719A851" w14:textId="77777777" w:rsidTr="005A4CFB">
        <w:tc>
          <w:tcPr>
            <w:tcW w:w="9628" w:type="dxa"/>
          </w:tcPr>
          <w:p w14:paraId="2B89B43F" w14:textId="77777777" w:rsidR="002E426F" w:rsidRDefault="002E426F" w:rsidP="002E426F">
            <w:pPr>
              <w:spacing w:afterLines="50" w:after="156"/>
              <w:rPr>
                <w:rFonts w:ascii="Arial" w:eastAsia="宋体" w:hAnsi="Arial" w:cs="Arial"/>
                <w:b/>
                <w:bCs/>
                <w:iCs/>
              </w:rPr>
            </w:pPr>
            <w:r>
              <w:rPr>
                <w:rFonts w:ascii="Arial" w:eastAsia="宋体" w:hAnsi="Arial" w:cs="Arial"/>
                <w:b/>
                <w:bCs/>
                <w:iCs/>
              </w:rPr>
              <w:t>Issue 2: 1Tx-1Tx switching case</w:t>
            </w:r>
          </w:p>
          <w:p w14:paraId="05ADC98C" w14:textId="5CD494CD" w:rsidR="005A4CFB" w:rsidRDefault="002E426F" w:rsidP="002E426F">
            <w:pPr>
              <w:spacing w:after="120"/>
            </w:pPr>
            <w:r>
              <w:rPr>
                <w:rFonts w:ascii="Arial" w:eastAsia="宋体" w:hAnsi="Arial" w:cs="Arial"/>
                <w:bCs/>
                <w:iCs/>
              </w:rPr>
              <w:t>In RAN4 #106, RAN4 discussed the scenario of 1Tx-1Tx switching, i.e., the UL carriers in both bands before and after switching are capable of one transmit antenna connector, and agreed to apply the same length of switching period for 1Tx-1Tx switching and 1Tx-2Tx switching.</w:t>
            </w:r>
          </w:p>
        </w:tc>
      </w:tr>
    </w:tbl>
    <w:p w14:paraId="122D6715" w14:textId="053C0E3F" w:rsidR="002E426F" w:rsidRDefault="002E426F" w:rsidP="002E426F">
      <w:pPr>
        <w:spacing w:before="120" w:after="120"/>
        <w:rPr>
          <w:szCs w:val="20"/>
        </w:rPr>
      </w:pPr>
      <w:r w:rsidRPr="00165DE6">
        <w:rPr>
          <w:szCs w:val="20"/>
          <w:lang w:val="en-AU"/>
        </w:rPr>
        <w:t xml:space="preserve">It has been agreed to apply the same length of switching period for 1Tx-1Tx switching and 1Tx-2Tx switching in RAN4’s LS. However, how to report the 1Tx-1Tx switching period needs clarification. One understanding is that a single parameter is reported (e.g.: </w:t>
      </w:r>
      <w:r w:rsidRPr="00165DE6">
        <w:rPr>
          <w:i/>
          <w:iCs/>
          <w:szCs w:val="20"/>
          <w:lang w:val="en-GB"/>
        </w:rPr>
        <w:t>uplinkTxSwitchingPeriod-r16</w:t>
      </w:r>
      <w:r w:rsidR="00E96CEE">
        <w:rPr>
          <w:i/>
          <w:iCs/>
          <w:szCs w:val="20"/>
          <w:lang w:val="en-GB"/>
        </w:rPr>
        <w:t xml:space="preserve"> </w:t>
      </w:r>
      <w:r w:rsidR="00E96CEE" w:rsidRPr="00E96CEE">
        <w:rPr>
          <w:iCs/>
          <w:szCs w:val="20"/>
          <w:lang w:val="en-GB"/>
        </w:rPr>
        <w:t>[2]</w:t>
      </w:r>
      <w:r w:rsidRPr="00165DE6">
        <w:rPr>
          <w:szCs w:val="20"/>
          <w:lang w:val="en-AU"/>
        </w:rPr>
        <w:t xml:space="preserve">) applying for both </w:t>
      </w:r>
      <w:r w:rsidRPr="00165DE6">
        <w:rPr>
          <w:szCs w:val="20"/>
        </w:rPr>
        <w:t xml:space="preserve">1Tx-1Tx switching and 1Tx-2Tx switching. Another understanding is that two parameters (e.g.: </w:t>
      </w:r>
      <w:r w:rsidRPr="00165DE6">
        <w:rPr>
          <w:i/>
          <w:iCs/>
          <w:szCs w:val="20"/>
          <w:lang w:val="en-GB"/>
        </w:rPr>
        <w:t>uplinkTxSwitchingPeriod-r16, uplinkTxSwitching1T1T-r18</w:t>
      </w:r>
      <w:r w:rsidRPr="00165DE6">
        <w:rPr>
          <w:szCs w:val="20"/>
        </w:rPr>
        <w:t xml:space="preserve">) are reported separately applying for 1Tx-2Tx switching and 1Tx-1Tx switching respectively, but the two parameters should have the same value. </w:t>
      </w:r>
    </w:p>
    <w:tbl>
      <w:tblPr>
        <w:tblStyle w:val="a7"/>
        <w:tblW w:w="0" w:type="auto"/>
        <w:tblLook w:val="04A0" w:firstRow="1" w:lastRow="0" w:firstColumn="1" w:lastColumn="0" w:noHBand="0" w:noVBand="1"/>
      </w:tblPr>
      <w:tblGrid>
        <w:gridCol w:w="9628"/>
      </w:tblGrid>
      <w:tr w:rsidR="002E426F" w14:paraId="68AA89FC" w14:textId="77777777" w:rsidTr="002E426F">
        <w:tc>
          <w:tcPr>
            <w:tcW w:w="9628" w:type="dxa"/>
          </w:tcPr>
          <w:p w14:paraId="30CCCDBD" w14:textId="77777777" w:rsidR="002E426F" w:rsidRPr="001925DE" w:rsidRDefault="002E426F" w:rsidP="002E426F">
            <w:pPr>
              <w:pStyle w:val="TAL"/>
              <w:rPr>
                <w:b/>
                <w:bCs/>
                <w:i/>
                <w:iCs/>
              </w:rPr>
            </w:pPr>
            <w:r w:rsidRPr="001925DE">
              <w:rPr>
                <w:b/>
                <w:bCs/>
                <w:i/>
                <w:iCs/>
              </w:rPr>
              <w:t xml:space="preserve">ULTxSwitchingBandPair-r16, </w:t>
            </w:r>
            <w:r w:rsidRPr="001925DE">
              <w:rPr>
                <w:rFonts w:cs="Arial"/>
                <w:b/>
                <w:bCs/>
                <w:i/>
                <w:iCs/>
                <w:lang w:eastAsia="fr-FR"/>
              </w:rPr>
              <w:t>ULTxSwitchingBandPair-v1700</w:t>
            </w:r>
          </w:p>
          <w:p w14:paraId="3BFD9205" w14:textId="77777777" w:rsidR="002E426F" w:rsidRPr="001925DE" w:rsidRDefault="002E426F" w:rsidP="002E426F">
            <w:pPr>
              <w:pStyle w:val="TAL"/>
            </w:pPr>
            <w:r w:rsidRPr="001925DE">
              <w:t xml:space="preserve">Indicates UE supports dynamic UL 1Tx-2Tx switching in case of inter-band CA, SUL, and </w:t>
            </w:r>
            <w:r w:rsidRPr="001925DE">
              <w:rPr>
                <w:lang w:eastAsia="en-GB"/>
              </w:rPr>
              <w:t>(NG)</w:t>
            </w:r>
            <w:r w:rsidRPr="001925DE">
              <w:t>EN-DC</w:t>
            </w:r>
            <w:r w:rsidRPr="001925DE">
              <w:rPr>
                <w:rFonts w:cs="Arial"/>
                <w:lang w:eastAsia="zh-CN"/>
              </w:rPr>
              <w:t xml:space="preserve">, and </w:t>
            </w:r>
            <w:r w:rsidRPr="001925DE">
              <w:rPr>
                <w:rFonts w:cs="Arial"/>
                <w:szCs w:val="18"/>
                <w:lang w:eastAsia="zh-CN"/>
              </w:rPr>
              <w:t xml:space="preserve">UL 2Tx-2Tx switching </w:t>
            </w:r>
            <w:r w:rsidRPr="001925DE">
              <w:rPr>
                <w:rFonts w:cs="Arial"/>
                <w:lang w:eastAsia="zh-CN"/>
              </w:rPr>
              <w:t>in case of inter-band CA and SUL</w:t>
            </w:r>
            <w:r w:rsidRPr="001925DE">
              <w:t xml:space="preserve"> as defined in TS 38.214 [12], TS 38.101-1 [2] and </w:t>
            </w:r>
            <w:r w:rsidRPr="001925DE">
              <w:rPr>
                <w:lang w:eastAsia="en-GB"/>
              </w:rPr>
              <w:t>TS 38.101-3 [4]</w:t>
            </w:r>
            <w:r w:rsidRPr="001925DE">
              <w:t>. The capability signalling comprises of the following parameters:</w:t>
            </w:r>
          </w:p>
          <w:p w14:paraId="09D792CD" w14:textId="381CC957" w:rsidR="002E426F" w:rsidRPr="001925DE" w:rsidRDefault="002E426F" w:rsidP="002E426F">
            <w:pPr>
              <w:pStyle w:val="TAL"/>
              <w:ind w:left="360" w:hangingChars="200" w:hanging="360"/>
              <w:rPr>
                <w:rFonts w:cs="Arial"/>
                <w:szCs w:val="18"/>
              </w:rPr>
            </w:pPr>
            <w:r w:rsidRPr="001925DE">
              <w:rPr>
                <w:rFonts w:cs="Arial"/>
                <w:szCs w:val="18"/>
              </w:rPr>
              <w:t>-</w:t>
            </w:r>
            <w:r w:rsidRPr="001925DE">
              <w:rPr>
                <w:rFonts w:cs="Arial"/>
                <w:szCs w:val="18"/>
              </w:rPr>
              <w:tab/>
            </w:r>
            <w:r w:rsidRPr="001925DE">
              <w:rPr>
                <w:rFonts w:cs="Arial"/>
                <w:i/>
                <w:szCs w:val="18"/>
              </w:rPr>
              <w:t>bandIndexUL1-r16</w:t>
            </w:r>
            <w:r w:rsidRPr="001925DE">
              <w:rPr>
                <w:rFonts w:cs="Arial"/>
                <w:szCs w:val="18"/>
              </w:rPr>
              <w:t xml:space="preserve"> and </w:t>
            </w:r>
            <w:r w:rsidRPr="001925DE">
              <w:rPr>
                <w:rFonts w:cs="Arial"/>
                <w:i/>
                <w:szCs w:val="18"/>
              </w:rPr>
              <w:t>bandIndexUL2-r16</w:t>
            </w:r>
            <w:r w:rsidRPr="001925DE">
              <w:rPr>
                <w:rFonts w:cs="Arial"/>
                <w:szCs w:val="18"/>
              </w:rPr>
              <w:t xml:space="preserve"> </w:t>
            </w:r>
            <w:r w:rsidR="00E96CEE">
              <w:rPr>
                <w:rFonts w:cs="Arial"/>
                <w:szCs w:val="18"/>
              </w:rPr>
              <w:t>...</w:t>
            </w:r>
          </w:p>
          <w:p w14:paraId="2E2772CE" w14:textId="77777777" w:rsidR="002E426F" w:rsidRPr="001925DE" w:rsidRDefault="002E426F" w:rsidP="002E426F">
            <w:pPr>
              <w:pStyle w:val="TAL"/>
              <w:ind w:left="360" w:hangingChars="200" w:hanging="360"/>
            </w:pPr>
            <w:r w:rsidRPr="001925DE">
              <w:rPr>
                <w:rFonts w:cs="Arial"/>
                <w:szCs w:val="18"/>
              </w:rPr>
              <w:t>-</w:t>
            </w:r>
            <w:r w:rsidRPr="001925DE">
              <w:rPr>
                <w:rFonts w:cs="Arial"/>
                <w:szCs w:val="18"/>
              </w:rPr>
              <w:tab/>
            </w:r>
            <w:r w:rsidRPr="002E426F">
              <w:rPr>
                <w:i/>
                <w:highlight w:val="yellow"/>
              </w:rPr>
              <w:t>uplinkTxSwitchingPeriod</w:t>
            </w:r>
            <w:r w:rsidRPr="002E426F">
              <w:rPr>
                <w:rFonts w:cs="Arial"/>
                <w:i/>
                <w:szCs w:val="18"/>
                <w:highlight w:val="yellow"/>
              </w:rPr>
              <w:t>-r16</w:t>
            </w:r>
            <w:r w:rsidRPr="001925DE">
              <w:t xml:space="preserve"> indicates the length of UL Tx switching period </w:t>
            </w:r>
            <w:r w:rsidRPr="001925DE">
              <w:rPr>
                <w:rFonts w:cs="Arial"/>
                <w:lang w:eastAsia="fr-FR"/>
              </w:rPr>
              <w:t xml:space="preserve">of </w:t>
            </w:r>
            <w:r w:rsidRPr="00E96CEE">
              <w:rPr>
                <w:rFonts w:cs="Arial"/>
                <w:highlight w:val="yellow"/>
                <w:lang w:eastAsia="fr-FR"/>
              </w:rPr>
              <w:t>1Tx-2Tx</w:t>
            </w:r>
            <w:r w:rsidRPr="001925DE">
              <w:rPr>
                <w:rFonts w:cs="Arial"/>
                <w:lang w:eastAsia="fr-FR"/>
              </w:rPr>
              <w:t xml:space="preserve"> switching </w:t>
            </w:r>
            <w:r w:rsidRPr="001925DE">
              <w:t>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14:paraId="3A6C0262" w14:textId="6C404E80" w:rsidR="002E426F" w:rsidRPr="001925DE" w:rsidRDefault="002E426F" w:rsidP="002E426F">
            <w:pPr>
              <w:pStyle w:val="TAL"/>
              <w:ind w:left="360" w:hangingChars="200" w:hanging="360"/>
            </w:pPr>
            <w:r w:rsidRPr="001925DE">
              <w:rPr>
                <w:rFonts w:cs="Arial"/>
                <w:szCs w:val="18"/>
                <w:lang w:eastAsia="fr-FR"/>
              </w:rPr>
              <w:t>-</w:t>
            </w:r>
            <w:r w:rsidRPr="001925DE">
              <w:rPr>
                <w:rFonts w:cs="Arial"/>
                <w:szCs w:val="18"/>
                <w:lang w:eastAsia="fr-FR"/>
              </w:rPr>
              <w:tab/>
            </w:r>
            <w:r w:rsidRPr="001925DE">
              <w:rPr>
                <w:rFonts w:cs="Arial"/>
                <w:i/>
                <w:lang w:eastAsia="fr-FR"/>
              </w:rPr>
              <w:t>uplinkTxSwitchingPeriod2T2T</w:t>
            </w:r>
            <w:r w:rsidRPr="001925DE">
              <w:rPr>
                <w:rFonts w:cs="Arial"/>
                <w:i/>
                <w:szCs w:val="18"/>
                <w:lang w:eastAsia="fr-FR"/>
              </w:rPr>
              <w:t>-r17</w:t>
            </w:r>
            <w:r w:rsidR="00E96CEE">
              <w:rPr>
                <w:rFonts w:cs="Arial"/>
                <w:lang w:eastAsia="fr-FR"/>
              </w:rPr>
              <w:t>...</w:t>
            </w:r>
          </w:p>
          <w:p w14:paraId="312B6410" w14:textId="656A5D48" w:rsidR="002E426F" w:rsidRDefault="002E426F" w:rsidP="00E96CEE">
            <w:pPr>
              <w:pStyle w:val="TAL"/>
              <w:ind w:left="360" w:hangingChars="200" w:hanging="360"/>
            </w:pPr>
            <w:r w:rsidRPr="001925DE">
              <w:rPr>
                <w:rFonts w:cs="Arial"/>
                <w:szCs w:val="18"/>
              </w:rPr>
              <w:t>-</w:t>
            </w:r>
            <w:r w:rsidRPr="001925DE">
              <w:rPr>
                <w:rFonts w:cs="Arial"/>
                <w:szCs w:val="18"/>
              </w:rPr>
              <w:tab/>
            </w:r>
            <w:r w:rsidRPr="001925DE">
              <w:rPr>
                <w:rFonts w:cs="Arial"/>
                <w:i/>
                <w:szCs w:val="18"/>
              </w:rPr>
              <w:t>uplinkTxSwitching-DL-Interruption-r16</w:t>
            </w:r>
            <w:r w:rsidRPr="001925DE">
              <w:rPr>
                <w:rFonts w:cs="Arial"/>
                <w:szCs w:val="18"/>
              </w:rPr>
              <w:t xml:space="preserve"> </w:t>
            </w:r>
            <w:r w:rsidR="00E96CEE">
              <w:rPr>
                <w:rFonts w:cs="Arial"/>
                <w:szCs w:val="18"/>
              </w:rPr>
              <w:t>...</w:t>
            </w:r>
          </w:p>
        </w:tc>
      </w:tr>
    </w:tbl>
    <w:p w14:paraId="2D1F2547" w14:textId="77777777" w:rsidR="002E426F" w:rsidRDefault="002E426F" w:rsidP="002E426F">
      <w:pPr>
        <w:spacing w:before="120" w:after="120"/>
        <w:rPr>
          <w:szCs w:val="20"/>
        </w:rPr>
      </w:pPr>
    </w:p>
    <w:p w14:paraId="6845985D" w14:textId="6BFB3D82" w:rsidR="005A4CFB" w:rsidRDefault="002E426F" w:rsidP="002E426F">
      <w:pPr>
        <w:spacing w:before="120" w:after="120"/>
        <w:rPr>
          <w:szCs w:val="20"/>
        </w:rPr>
      </w:pPr>
      <w:r w:rsidRPr="00165DE6">
        <w:rPr>
          <w:szCs w:val="20"/>
        </w:rPr>
        <w:lastRenderedPageBreak/>
        <w:t>In our view, there is no additional benefit to introducing a new parameter to indicate 1Tx-1Tx switching period. For simplicity, the legacy parameter</w:t>
      </w:r>
      <w:r w:rsidRPr="00165DE6">
        <w:rPr>
          <w:i/>
          <w:iCs/>
          <w:szCs w:val="20"/>
          <w:lang w:val="en-GB"/>
        </w:rPr>
        <w:t xml:space="preserve"> uplinkTxSwitchingPeriod-r16 </w:t>
      </w:r>
      <w:r w:rsidRPr="00165DE6">
        <w:rPr>
          <w:szCs w:val="20"/>
          <w:lang w:val="en-GB"/>
        </w:rPr>
        <w:t>is applied for both</w:t>
      </w:r>
      <w:r w:rsidRPr="00165DE6">
        <w:rPr>
          <w:i/>
          <w:iCs/>
          <w:szCs w:val="20"/>
          <w:lang w:val="en-GB"/>
        </w:rPr>
        <w:t xml:space="preserve"> </w:t>
      </w:r>
      <w:r w:rsidRPr="00165DE6">
        <w:rPr>
          <w:szCs w:val="20"/>
        </w:rPr>
        <w:t>1Tx-1Tx switching and 1Tx-2Tx switching.</w:t>
      </w:r>
    </w:p>
    <w:p w14:paraId="677E9015" w14:textId="0586AD70" w:rsidR="002E426F" w:rsidRPr="00E96CEE" w:rsidRDefault="002E426F" w:rsidP="00A6692B">
      <w:pPr>
        <w:pStyle w:val="af4"/>
        <w:jc w:val="both"/>
        <w:rPr>
          <w:rFonts w:cs="Times New Roman"/>
          <w:b/>
          <w:bCs/>
        </w:rPr>
      </w:pPr>
      <w:bookmarkStart w:id="7" w:name="_Ref131697494"/>
      <w:r w:rsidRPr="00165DE6">
        <w:rPr>
          <w:rFonts w:cs="Times New Roman"/>
          <w:b/>
          <w:bCs/>
        </w:rPr>
        <w:t xml:space="preserve">Proposal </w:t>
      </w:r>
      <w:r>
        <w:rPr>
          <w:rFonts w:cs="Times New Roman"/>
          <w:b/>
          <w:bCs/>
        </w:rPr>
        <w:t>1:</w:t>
      </w:r>
      <w:r w:rsidRPr="00165DE6">
        <w:rPr>
          <w:rFonts w:cs="Times New Roman"/>
        </w:rPr>
        <w:t xml:space="preserve"> </w:t>
      </w:r>
      <w:r w:rsidRPr="00165DE6">
        <w:rPr>
          <w:rFonts w:cs="Times New Roman"/>
          <w:b/>
          <w:bCs/>
        </w:rPr>
        <w:t>The legacy parameter</w:t>
      </w:r>
      <w:r w:rsidRPr="00165DE6">
        <w:rPr>
          <w:rFonts w:cs="Times New Roman"/>
          <w:b/>
          <w:bCs/>
          <w:i/>
          <w:iCs/>
        </w:rPr>
        <w:t xml:space="preserve"> uplinkTxSwitchingPeriod-r16 </w:t>
      </w:r>
      <w:r w:rsidRPr="00165DE6">
        <w:rPr>
          <w:rFonts w:cs="Times New Roman"/>
          <w:b/>
          <w:bCs/>
        </w:rPr>
        <w:t>is applied for both</w:t>
      </w:r>
      <w:r w:rsidRPr="00165DE6">
        <w:rPr>
          <w:rFonts w:cs="Times New Roman"/>
          <w:b/>
          <w:bCs/>
          <w:i/>
          <w:iCs/>
        </w:rPr>
        <w:t xml:space="preserve"> </w:t>
      </w:r>
      <w:r w:rsidRPr="00165DE6">
        <w:rPr>
          <w:rFonts w:cs="Times New Roman"/>
          <w:b/>
          <w:bCs/>
        </w:rPr>
        <w:t>1Tx-1Tx switching and 1Tx-2Tx switching.</w:t>
      </w:r>
      <w:bookmarkEnd w:id="7"/>
    </w:p>
    <w:p w14:paraId="02DB5EE9" w14:textId="3E4622EF" w:rsidR="00541641" w:rsidRDefault="00E96CEE" w:rsidP="00E96CEE">
      <w:pPr>
        <w:pStyle w:val="3"/>
      </w:pPr>
      <w:r>
        <w:t xml:space="preserve">Fallback of </w:t>
      </w:r>
      <w:r w:rsidRPr="007C7E62">
        <w:rPr>
          <w:rFonts w:eastAsia="宋体"/>
          <w:bCs w:val="0"/>
          <w:iCs/>
        </w:rPr>
        <w:t>Rel-18 Tx switching to Rel-16/17 Tx switching</w:t>
      </w:r>
    </w:p>
    <w:p w14:paraId="6961F316" w14:textId="1EF834EC" w:rsidR="00194C84" w:rsidRPr="00E96CEE" w:rsidRDefault="00E96CEE" w:rsidP="00B3204D">
      <w:pPr>
        <w:spacing w:after="120"/>
        <w:rPr>
          <w:rFonts w:cs="Times New Roman"/>
        </w:rPr>
      </w:pPr>
      <w:r>
        <w:rPr>
          <w:rFonts w:cs="Times New Roman"/>
        </w:rPr>
        <w:t xml:space="preserve">During </w:t>
      </w:r>
      <w:r w:rsidRPr="00165DE6">
        <w:rPr>
          <w:rFonts w:cs="Times New Roman"/>
        </w:rPr>
        <w:t>RAN4 #106</w:t>
      </w:r>
      <w:r>
        <w:rPr>
          <w:rFonts w:cs="Times New Roman"/>
        </w:rPr>
        <w:t>bis meeting, the following agreement was made according the LS [2]:</w:t>
      </w:r>
    </w:p>
    <w:tbl>
      <w:tblPr>
        <w:tblStyle w:val="a7"/>
        <w:tblW w:w="0" w:type="auto"/>
        <w:tblLook w:val="04A0" w:firstRow="1" w:lastRow="0" w:firstColumn="1" w:lastColumn="0" w:noHBand="0" w:noVBand="1"/>
      </w:tblPr>
      <w:tblGrid>
        <w:gridCol w:w="9628"/>
      </w:tblGrid>
      <w:tr w:rsidR="00E96CEE" w14:paraId="5BF39116" w14:textId="77777777" w:rsidTr="00E96CEE">
        <w:tc>
          <w:tcPr>
            <w:tcW w:w="9628" w:type="dxa"/>
          </w:tcPr>
          <w:p w14:paraId="2A11EF88" w14:textId="77777777" w:rsidR="00E96CEE" w:rsidRPr="007C7E62" w:rsidRDefault="00E96CEE" w:rsidP="00E96CEE">
            <w:pPr>
              <w:spacing w:afterLines="50" w:after="156"/>
              <w:rPr>
                <w:rFonts w:ascii="Arial" w:eastAsia="宋体" w:hAnsi="Arial" w:cs="Arial"/>
                <w:bCs/>
                <w:iCs/>
              </w:rPr>
            </w:pPr>
            <w:r w:rsidRPr="004C64C6">
              <w:rPr>
                <w:rFonts w:ascii="Arial" w:eastAsia="宋体" w:hAnsi="Arial" w:cs="Arial" w:hint="eastAsia"/>
                <w:bCs/>
                <w:iCs/>
              </w:rPr>
              <w:t>RAN4 has also discussed the f</w:t>
            </w:r>
            <w:r w:rsidRPr="007C7E62">
              <w:rPr>
                <w:rFonts w:ascii="Arial" w:eastAsia="宋体" w:hAnsi="Arial" w:cs="Arial"/>
                <w:bCs/>
                <w:iCs/>
              </w:rPr>
              <w:t>allback of Rel-18 Tx switching to Rel-16/17 Tx switching</w:t>
            </w:r>
            <w:r w:rsidRPr="007C7E62">
              <w:rPr>
                <w:rFonts w:ascii="Arial" w:eastAsia="宋体" w:hAnsi="Arial" w:cs="Arial" w:hint="eastAsia"/>
                <w:bCs/>
                <w:iCs/>
              </w:rPr>
              <w:t>, and reached the following agreement</w:t>
            </w:r>
            <w:r w:rsidRPr="007C7E62">
              <w:rPr>
                <w:rFonts w:ascii="Arial" w:eastAsia="宋体" w:hAnsi="Arial" w:cs="Arial"/>
                <w:bCs/>
                <w:iCs/>
              </w:rPr>
              <w:t xml:space="preserve"> and understanding</w:t>
            </w:r>
            <w:r w:rsidRPr="007C7E62">
              <w:rPr>
                <w:rFonts w:ascii="Arial" w:eastAsia="宋体" w:hAnsi="Arial" w:cs="Arial" w:hint="eastAsia"/>
                <w:bCs/>
                <w:iCs/>
              </w:rPr>
              <w:t>:</w:t>
            </w:r>
          </w:p>
          <w:p w14:paraId="1B71DCDC" w14:textId="77777777" w:rsidR="00E96CEE" w:rsidRDefault="00E96CEE" w:rsidP="00E96CEE">
            <w:pPr>
              <w:widowControl/>
              <w:numPr>
                <w:ilvl w:val="0"/>
                <w:numId w:val="18"/>
              </w:numPr>
              <w:overflowPunct w:val="0"/>
              <w:autoSpaceDE w:val="0"/>
              <w:autoSpaceDN w:val="0"/>
              <w:adjustRightInd w:val="0"/>
              <w:spacing w:afterLines="50" w:after="156"/>
              <w:ind w:left="284" w:hanging="284"/>
              <w:jc w:val="left"/>
              <w:textAlignment w:val="baseline"/>
              <w:rPr>
                <w:rFonts w:ascii="Arial" w:eastAsia="宋体" w:hAnsi="Arial" w:cs="Arial"/>
                <w:bCs/>
                <w:iCs/>
              </w:rPr>
            </w:pPr>
            <w:r w:rsidRPr="007C7E62">
              <w:rPr>
                <w:rFonts w:ascii="Arial" w:eastAsia="宋体" w:hAnsi="Arial" w:cs="Arial" w:hint="eastAsia"/>
                <w:bCs/>
                <w:iCs/>
              </w:rPr>
              <w:t>T</w:t>
            </w:r>
            <w:r w:rsidRPr="007C7E62">
              <w:rPr>
                <w:rFonts w:ascii="Arial" w:eastAsia="宋体" w:hAnsi="Arial" w:cs="Arial"/>
                <w:bCs/>
                <w:iCs/>
              </w:rPr>
              <w:t>he indication of supported switching band combinations of the UE capability can also imply the capabilities of the fallbacks in accordance with the current 38.331</w:t>
            </w:r>
            <w:r w:rsidRPr="007C7E62">
              <w:rPr>
                <w:rFonts w:ascii="Arial" w:eastAsia="宋体" w:hAnsi="Arial" w:cs="Arial" w:hint="eastAsia"/>
                <w:bCs/>
                <w:iCs/>
              </w:rPr>
              <w:t xml:space="preserve"> fallback framework.</w:t>
            </w:r>
          </w:p>
          <w:p w14:paraId="58F8CD94" w14:textId="5824EBAB" w:rsidR="00E96CEE" w:rsidRPr="00E96CEE" w:rsidRDefault="00E96CEE" w:rsidP="00E96CEE">
            <w:pPr>
              <w:widowControl/>
              <w:numPr>
                <w:ilvl w:val="0"/>
                <w:numId w:val="18"/>
              </w:numPr>
              <w:overflowPunct w:val="0"/>
              <w:autoSpaceDE w:val="0"/>
              <w:autoSpaceDN w:val="0"/>
              <w:adjustRightInd w:val="0"/>
              <w:spacing w:afterLines="50" w:after="156"/>
              <w:ind w:left="284" w:hanging="284"/>
              <w:jc w:val="left"/>
              <w:textAlignment w:val="baseline"/>
              <w:rPr>
                <w:rFonts w:ascii="Arial" w:eastAsia="宋体" w:hAnsi="Arial" w:cs="Arial"/>
                <w:bCs/>
                <w:iCs/>
              </w:rPr>
            </w:pPr>
            <w:r w:rsidRPr="00E96CEE">
              <w:rPr>
                <w:rFonts w:ascii="Arial" w:eastAsia="宋体" w:hAnsi="Arial" w:cs="Arial"/>
                <w:bCs/>
                <w:iCs/>
              </w:rPr>
              <w:t>Rel-18 T</w:t>
            </w:r>
            <w:r w:rsidRPr="00E96CEE">
              <w:rPr>
                <w:rFonts w:ascii="Arial" w:eastAsia="宋体" w:hAnsi="Arial" w:cs="Arial" w:hint="eastAsia"/>
                <w:bCs/>
                <w:iCs/>
              </w:rPr>
              <w:t>x</w:t>
            </w:r>
            <w:r w:rsidRPr="00E96CEE">
              <w:rPr>
                <w:rFonts w:ascii="Arial" w:eastAsia="宋体" w:hAnsi="Arial" w:cs="Arial"/>
                <w:bCs/>
                <w:iCs/>
              </w:rPr>
              <w:t xml:space="preserve"> switching capability will include all sufficient capabilities for two-band switching. In addition, UE may also declare two-band T</w:t>
            </w:r>
            <w:r w:rsidRPr="00E96CEE">
              <w:rPr>
                <w:rFonts w:ascii="Arial" w:eastAsia="宋体" w:hAnsi="Arial" w:cs="Arial" w:hint="eastAsia"/>
                <w:bCs/>
                <w:iCs/>
              </w:rPr>
              <w:t>x</w:t>
            </w:r>
            <w:r w:rsidRPr="00E96CEE">
              <w:rPr>
                <w:rFonts w:ascii="Arial" w:eastAsia="宋体" w:hAnsi="Arial" w:cs="Arial"/>
                <w:bCs/>
                <w:iCs/>
              </w:rPr>
              <w:t xml:space="preserve"> switching capabilities with Rel-16 and/or Rel-17 capabilities. If UE is configured for two-band T</w:t>
            </w:r>
            <w:r w:rsidRPr="00E96CEE">
              <w:rPr>
                <w:rFonts w:ascii="Arial" w:eastAsia="宋体" w:hAnsi="Arial" w:cs="Arial" w:hint="eastAsia"/>
                <w:bCs/>
                <w:iCs/>
              </w:rPr>
              <w:t>x</w:t>
            </w:r>
            <w:r w:rsidRPr="00E96CEE">
              <w:rPr>
                <w:rFonts w:ascii="Arial" w:eastAsia="宋体" w:hAnsi="Arial" w:cs="Arial"/>
                <w:bCs/>
                <w:iCs/>
              </w:rPr>
              <w:t xml:space="preserve"> switching only and UE declares those </w:t>
            </w:r>
            <w:r w:rsidRPr="00E96CEE">
              <w:rPr>
                <w:rFonts w:ascii="Arial" w:eastAsia="宋体" w:hAnsi="Arial" w:cs="Arial" w:hint="eastAsia"/>
                <w:bCs/>
                <w:iCs/>
              </w:rPr>
              <w:t>R</w:t>
            </w:r>
            <w:r w:rsidRPr="00E96CEE">
              <w:rPr>
                <w:rFonts w:ascii="Arial" w:eastAsia="宋体" w:hAnsi="Arial" w:cs="Arial"/>
                <w:bCs/>
                <w:iCs/>
              </w:rPr>
              <w:t>el-16/17 capabilities, then Rel-16/17 capabilities apply for this two band T</w:t>
            </w:r>
            <w:r w:rsidRPr="00E96CEE">
              <w:rPr>
                <w:rFonts w:ascii="Arial" w:eastAsia="宋体" w:hAnsi="Arial" w:cs="Arial" w:hint="eastAsia"/>
                <w:bCs/>
                <w:iCs/>
              </w:rPr>
              <w:t>x</w:t>
            </w:r>
            <w:r w:rsidRPr="00E96CEE">
              <w:rPr>
                <w:rFonts w:ascii="Arial" w:eastAsia="宋体" w:hAnsi="Arial" w:cs="Arial"/>
                <w:bCs/>
                <w:iCs/>
              </w:rPr>
              <w:t xml:space="preserve"> switching.</w:t>
            </w:r>
          </w:p>
        </w:tc>
      </w:tr>
    </w:tbl>
    <w:p w14:paraId="6C1C3763" w14:textId="4FF81A97" w:rsidR="00E96CEE" w:rsidRDefault="00E96CEE" w:rsidP="00E96CEE">
      <w:pPr>
        <w:spacing w:before="120" w:after="120"/>
        <w:rPr>
          <w:rFonts w:cs="Times New Roman"/>
          <w:szCs w:val="20"/>
        </w:rPr>
      </w:pPr>
      <w:r>
        <w:rPr>
          <w:rFonts w:cs="Times New Roman"/>
          <w:szCs w:val="20"/>
        </w:rPr>
        <w:t>For the first bullet “</w:t>
      </w:r>
      <w:r w:rsidRPr="00E96CEE">
        <w:rPr>
          <w:rFonts w:cs="Times New Roman"/>
          <w:szCs w:val="20"/>
        </w:rPr>
        <w:t>The indication of supported switching band combinations of the UE capability can also imply the capabilities of the fallbacks in accordance with the current 38.331 fallback framework.</w:t>
      </w:r>
      <w:r>
        <w:rPr>
          <w:rFonts w:cs="Times New Roman"/>
          <w:szCs w:val="20"/>
        </w:rPr>
        <w:t>”</w:t>
      </w:r>
      <w:r w:rsidR="00C8150B">
        <w:rPr>
          <w:rFonts w:cs="Times New Roman"/>
          <w:szCs w:val="20"/>
        </w:rPr>
        <w:t xml:space="preserve">, we think there are </w:t>
      </w:r>
      <w:r w:rsidR="00F71148">
        <w:rPr>
          <w:rFonts w:cs="Times New Roman"/>
          <w:szCs w:val="20"/>
        </w:rPr>
        <w:t xml:space="preserve">2 </w:t>
      </w:r>
      <w:r w:rsidR="00C8150B">
        <w:rPr>
          <w:rFonts w:cs="Times New Roman"/>
          <w:szCs w:val="20"/>
        </w:rPr>
        <w:t>alternatives to meet RAN4’s understanding:</w:t>
      </w:r>
    </w:p>
    <w:p w14:paraId="7EFA0021" w14:textId="7C20E832" w:rsidR="00C8150B" w:rsidRPr="00C8150B" w:rsidRDefault="00C8150B" w:rsidP="00C8150B">
      <w:pPr>
        <w:pStyle w:val="aa"/>
        <w:numPr>
          <w:ilvl w:val="0"/>
          <w:numId w:val="19"/>
        </w:numPr>
        <w:ind w:left="714" w:firstLineChars="0" w:hanging="357"/>
        <w:rPr>
          <w:rFonts w:ascii="Times New Roman" w:hAnsi="Times New Roman"/>
          <w:sz w:val="20"/>
          <w:szCs w:val="20"/>
        </w:rPr>
      </w:pPr>
      <w:r w:rsidRPr="00C8150B">
        <w:rPr>
          <w:rFonts w:ascii="Times New Roman" w:hAnsi="Times New Roman"/>
          <w:b/>
          <w:sz w:val="20"/>
          <w:szCs w:val="20"/>
        </w:rPr>
        <w:t>Alt. 1:</w:t>
      </w:r>
      <w:r w:rsidRPr="00C8150B">
        <w:rPr>
          <w:rFonts w:ascii="Times New Roman" w:hAnsi="Times New Roman"/>
          <w:sz w:val="20"/>
          <w:szCs w:val="20"/>
        </w:rPr>
        <w:t xml:space="preserve"> </w:t>
      </w:r>
      <w:r w:rsidR="00F71148">
        <w:rPr>
          <w:rFonts w:ascii="Times New Roman" w:hAnsi="Times New Roman"/>
          <w:sz w:val="20"/>
          <w:szCs w:val="20"/>
        </w:rPr>
        <w:t xml:space="preserve">The </w:t>
      </w:r>
      <w:r w:rsidRPr="00C8150B">
        <w:rPr>
          <w:rFonts w:ascii="Times New Roman" w:hAnsi="Times New Roman"/>
          <w:sz w:val="20"/>
          <w:szCs w:val="20"/>
        </w:rPr>
        <w:t>UE report</w:t>
      </w:r>
      <w:r>
        <w:rPr>
          <w:rFonts w:ascii="Times New Roman" w:hAnsi="Times New Roman"/>
          <w:sz w:val="20"/>
          <w:szCs w:val="20"/>
        </w:rPr>
        <w:t>s</w:t>
      </w:r>
      <w:r w:rsidRPr="00C8150B">
        <w:rPr>
          <w:rFonts w:ascii="Times New Roman" w:hAnsi="Times New Roman"/>
          <w:sz w:val="20"/>
          <w:szCs w:val="20"/>
        </w:rPr>
        <w:t xml:space="preserve"> supported Rel-18 tx switching band combinations</w:t>
      </w:r>
      <w:r>
        <w:rPr>
          <w:rFonts w:ascii="Times New Roman" w:hAnsi="Times New Roman"/>
          <w:sz w:val="20"/>
          <w:szCs w:val="20"/>
        </w:rPr>
        <w:t xml:space="preserve">, and optionally reports </w:t>
      </w:r>
      <w:r w:rsidRPr="00C8150B">
        <w:rPr>
          <w:rFonts w:ascii="Times New Roman" w:hAnsi="Times New Roman"/>
          <w:sz w:val="20"/>
          <w:szCs w:val="20"/>
        </w:rPr>
        <w:t>supported Rel-</w:t>
      </w:r>
      <w:r>
        <w:rPr>
          <w:rFonts w:ascii="Times New Roman" w:hAnsi="Times New Roman"/>
          <w:sz w:val="20"/>
          <w:szCs w:val="20"/>
        </w:rPr>
        <w:t>16/17</w:t>
      </w:r>
      <w:r w:rsidRPr="00C8150B">
        <w:rPr>
          <w:rFonts w:ascii="Times New Roman" w:hAnsi="Times New Roman"/>
          <w:sz w:val="20"/>
          <w:szCs w:val="20"/>
        </w:rPr>
        <w:t xml:space="preserve"> tx switching band combinations</w:t>
      </w:r>
      <w:r>
        <w:rPr>
          <w:rFonts w:ascii="Times New Roman" w:hAnsi="Times New Roman"/>
          <w:sz w:val="20"/>
          <w:szCs w:val="20"/>
        </w:rPr>
        <w:t xml:space="preserve"> for fallback capability reporting</w:t>
      </w:r>
      <w:r w:rsidR="0099411E">
        <w:rPr>
          <w:rFonts w:ascii="Times New Roman" w:hAnsi="Times New Roman"/>
          <w:sz w:val="20"/>
          <w:szCs w:val="20"/>
        </w:rPr>
        <w:t>;</w:t>
      </w:r>
    </w:p>
    <w:p w14:paraId="0EB600F2" w14:textId="4AC860F7" w:rsidR="00C8150B" w:rsidRPr="00C8150B" w:rsidRDefault="00C8150B" w:rsidP="00C8150B">
      <w:pPr>
        <w:pStyle w:val="aa"/>
        <w:numPr>
          <w:ilvl w:val="0"/>
          <w:numId w:val="19"/>
        </w:numPr>
        <w:ind w:left="714" w:firstLineChars="0" w:hanging="357"/>
        <w:rPr>
          <w:rFonts w:ascii="Times New Roman" w:hAnsi="Times New Roman"/>
          <w:sz w:val="20"/>
          <w:szCs w:val="20"/>
        </w:rPr>
      </w:pPr>
      <w:r w:rsidRPr="00C8150B">
        <w:rPr>
          <w:rFonts w:ascii="Times New Roman" w:hAnsi="Times New Roman"/>
          <w:b/>
          <w:sz w:val="20"/>
          <w:szCs w:val="20"/>
        </w:rPr>
        <w:t xml:space="preserve">Alt. </w:t>
      </w:r>
      <w:r>
        <w:rPr>
          <w:rFonts w:ascii="Times New Roman" w:hAnsi="Times New Roman"/>
          <w:b/>
          <w:sz w:val="20"/>
          <w:szCs w:val="20"/>
        </w:rPr>
        <w:t>2</w:t>
      </w:r>
      <w:r w:rsidRPr="00C8150B">
        <w:rPr>
          <w:rFonts w:ascii="Times New Roman" w:hAnsi="Times New Roman"/>
          <w:b/>
          <w:sz w:val="20"/>
          <w:szCs w:val="20"/>
        </w:rPr>
        <w:t>:</w:t>
      </w:r>
      <w:r>
        <w:rPr>
          <w:rFonts w:ascii="Times New Roman" w:hAnsi="Times New Roman"/>
          <w:sz w:val="20"/>
          <w:szCs w:val="20"/>
        </w:rPr>
        <w:t xml:space="preserve"> </w:t>
      </w:r>
      <w:r w:rsidR="00F71148">
        <w:rPr>
          <w:rFonts w:ascii="Times New Roman" w:hAnsi="Times New Roman"/>
          <w:sz w:val="20"/>
          <w:szCs w:val="20"/>
        </w:rPr>
        <w:t xml:space="preserve">The </w:t>
      </w:r>
      <w:r>
        <w:rPr>
          <w:rFonts w:ascii="Times New Roman" w:hAnsi="Times New Roman"/>
          <w:sz w:val="20"/>
          <w:szCs w:val="20"/>
        </w:rPr>
        <w:t>UE should report</w:t>
      </w:r>
      <w:r w:rsidRPr="00C8150B">
        <w:rPr>
          <w:rFonts w:ascii="Times New Roman" w:hAnsi="Times New Roman"/>
          <w:sz w:val="20"/>
          <w:szCs w:val="20"/>
        </w:rPr>
        <w:t xml:space="preserve"> </w:t>
      </w:r>
      <w:r>
        <w:rPr>
          <w:rFonts w:ascii="Times New Roman" w:hAnsi="Times New Roman"/>
          <w:sz w:val="20"/>
          <w:szCs w:val="20"/>
        </w:rPr>
        <w:t xml:space="preserve">both </w:t>
      </w:r>
      <w:r w:rsidRPr="00C8150B">
        <w:rPr>
          <w:rFonts w:ascii="Times New Roman" w:hAnsi="Times New Roman"/>
          <w:sz w:val="20"/>
          <w:szCs w:val="20"/>
        </w:rPr>
        <w:t>supported Rel-</w:t>
      </w:r>
      <w:r>
        <w:rPr>
          <w:rFonts w:ascii="Times New Roman" w:hAnsi="Times New Roman"/>
          <w:sz w:val="20"/>
          <w:szCs w:val="20"/>
        </w:rPr>
        <w:t>16/17</w:t>
      </w:r>
      <w:r w:rsidRPr="00C8150B">
        <w:rPr>
          <w:rFonts w:ascii="Times New Roman" w:hAnsi="Times New Roman"/>
          <w:sz w:val="20"/>
          <w:szCs w:val="20"/>
        </w:rPr>
        <w:t xml:space="preserve"> tx switching band combinations </w:t>
      </w:r>
      <w:r>
        <w:rPr>
          <w:rFonts w:ascii="Times New Roman" w:hAnsi="Times New Roman"/>
          <w:sz w:val="20"/>
          <w:szCs w:val="20"/>
        </w:rPr>
        <w:t xml:space="preserve">and </w:t>
      </w:r>
      <w:r w:rsidRPr="00C8150B">
        <w:rPr>
          <w:rFonts w:ascii="Times New Roman" w:hAnsi="Times New Roman"/>
          <w:sz w:val="20"/>
          <w:szCs w:val="20"/>
        </w:rPr>
        <w:t>supported Rel-18 tx switching band combinations</w:t>
      </w:r>
      <w:r>
        <w:rPr>
          <w:rFonts w:ascii="Times New Roman" w:hAnsi="Times New Roman"/>
          <w:sz w:val="20"/>
          <w:szCs w:val="20"/>
        </w:rPr>
        <w:t>;</w:t>
      </w:r>
    </w:p>
    <w:p w14:paraId="783C1C4D" w14:textId="5AC1E220" w:rsidR="00A2414B" w:rsidRDefault="00C8150B" w:rsidP="00A2414B">
      <w:pPr>
        <w:rPr>
          <w:szCs w:val="20"/>
        </w:rPr>
      </w:pPr>
      <w:bookmarkStart w:id="8" w:name="_Hlk92538289"/>
      <w:r>
        <w:t xml:space="preserve">Taking the second bullet of the RAN4 agreement into consideration, </w:t>
      </w:r>
      <w:r w:rsidR="00A6692B">
        <w:t>i.e. “</w:t>
      </w:r>
      <w:r w:rsidR="00A6692B" w:rsidRPr="00A6692B">
        <w:t>If UE is configured for two-band Tx switching only and UE declares those Rel-16/17 capabilities, then Rel-16/17 capabilities apply for this two band Tx switching.</w:t>
      </w:r>
      <w:r w:rsidR="00A6692B">
        <w:t xml:space="preserve">”, </w:t>
      </w:r>
      <w:r>
        <w:t xml:space="preserve">we think Alt.1 is more aligned with RAN4 understanding of </w:t>
      </w:r>
      <w:r>
        <w:rPr>
          <w:szCs w:val="20"/>
        </w:rPr>
        <w:t>fallback capability reporting and propose to go with Alt.1.</w:t>
      </w:r>
    </w:p>
    <w:p w14:paraId="43D4EE39" w14:textId="06AFEFDE" w:rsidR="00C8150B" w:rsidRPr="00E96CEE" w:rsidRDefault="00C8150B" w:rsidP="00A6692B">
      <w:pPr>
        <w:pStyle w:val="af4"/>
        <w:jc w:val="both"/>
        <w:rPr>
          <w:rFonts w:cs="Times New Roman"/>
          <w:b/>
          <w:bCs/>
        </w:rPr>
      </w:pPr>
      <w:r w:rsidRPr="00165DE6">
        <w:rPr>
          <w:rFonts w:cs="Times New Roman"/>
          <w:b/>
          <w:bCs/>
        </w:rPr>
        <w:t xml:space="preserve">Proposal </w:t>
      </w:r>
      <w:r>
        <w:rPr>
          <w:rFonts w:cs="Times New Roman"/>
          <w:b/>
          <w:bCs/>
        </w:rPr>
        <w:t>2:</w:t>
      </w:r>
      <w:r w:rsidRPr="00165DE6">
        <w:rPr>
          <w:rFonts w:cs="Times New Roman"/>
        </w:rPr>
        <w:t xml:space="preserve"> </w:t>
      </w:r>
      <w:r>
        <w:rPr>
          <w:rFonts w:cs="Times New Roman"/>
          <w:b/>
          <w:bCs/>
        </w:rPr>
        <w:t xml:space="preserve">For </w:t>
      </w:r>
      <w:r w:rsidR="00A6692B">
        <w:rPr>
          <w:rFonts w:cs="Times New Roman"/>
          <w:b/>
          <w:bCs/>
        </w:rPr>
        <w:t xml:space="preserve">supporting </w:t>
      </w:r>
      <w:r w:rsidR="00F71148">
        <w:rPr>
          <w:rFonts w:cs="Times New Roman"/>
          <w:b/>
          <w:bCs/>
        </w:rPr>
        <w:t xml:space="preserve">Rel-18 tx switching </w:t>
      </w:r>
      <w:r>
        <w:rPr>
          <w:rFonts w:cs="Times New Roman"/>
          <w:b/>
          <w:bCs/>
        </w:rPr>
        <w:t xml:space="preserve">fallback capability reporting, the </w:t>
      </w:r>
      <w:r w:rsidR="00F71148" w:rsidRPr="00F71148">
        <w:rPr>
          <w:rFonts w:cs="Times New Roman"/>
          <w:b/>
          <w:bCs/>
        </w:rPr>
        <w:t>UE reports supported Rel-18 tx switching band combinations, and optionally reports supported Rel-16/17 tx switching band combinations for fallback capability reporting</w:t>
      </w:r>
      <w:r w:rsidR="00F71148">
        <w:rPr>
          <w:rFonts w:cs="Times New Roman"/>
          <w:b/>
          <w:bCs/>
        </w:rPr>
        <w:t>.</w:t>
      </w:r>
      <w:bookmarkStart w:id="9" w:name="_GoBack"/>
      <w:bookmarkEnd w:id="9"/>
    </w:p>
    <w:bookmarkEnd w:id="8"/>
    <w:p w14:paraId="74CDD6C6" w14:textId="77777777" w:rsidR="001A25FC" w:rsidRDefault="001A25FC" w:rsidP="00541641">
      <w:pPr>
        <w:pBdr>
          <w:bottom w:val="single" w:sz="12" w:space="1" w:color="auto"/>
        </w:pBdr>
      </w:pPr>
    </w:p>
    <w:p w14:paraId="347555DC" w14:textId="0FFFED12" w:rsidR="00541641" w:rsidRDefault="00541641" w:rsidP="00541641">
      <w:pPr>
        <w:pStyle w:val="1"/>
      </w:pPr>
      <w:r>
        <w:t>Conclusion</w:t>
      </w:r>
    </w:p>
    <w:p w14:paraId="2CA5C5B5" w14:textId="157B31D0" w:rsidR="00541641" w:rsidRDefault="00541641" w:rsidP="00541641">
      <w:pPr>
        <w:pStyle w:val="a8"/>
        <w:rPr>
          <w:rFonts w:eastAsia="宋体"/>
          <w:lang w:eastAsia="zh-CN"/>
        </w:rPr>
      </w:pPr>
      <w:r>
        <w:rPr>
          <w:rFonts w:eastAsia="宋体"/>
          <w:lang w:eastAsia="zh-CN"/>
        </w:rPr>
        <w:t>Based on the discussion, we have the following proposals:</w:t>
      </w:r>
    </w:p>
    <w:p w14:paraId="3232B5EE" w14:textId="77777777" w:rsidR="00A6692B" w:rsidRPr="00E96CEE" w:rsidRDefault="00A6692B" w:rsidP="00A6692B">
      <w:pPr>
        <w:pStyle w:val="af4"/>
        <w:jc w:val="both"/>
        <w:rPr>
          <w:rFonts w:cs="Times New Roman"/>
          <w:b/>
          <w:bCs/>
        </w:rPr>
      </w:pPr>
      <w:r w:rsidRPr="00165DE6">
        <w:rPr>
          <w:rFonts w:cs="Times New Roman"/>
          <w:b/>
          <w:bCs/>
        </w:rPr>
        <w:t xml:space="preserve">Proposal </w:t>
      </w:r>
      <w:r>
        <w:rPr>
          <w:rFonts w:cs="Times New Roman"/>
          <w:b/>
          <w:bCs/>
        </w:rPr>
        <w:t>1:</w:t>
      </w:r>
      <w:r w:rsidRPr="00165DE6">
        <w:rPr>
          <w:rFonts w:cs="Times New Roman"/>
        </w:rPr>
        <w:t xml:space="preserve"> </w:t>
      </w:r>
      <w:r w:rsidRPr="00165DE6">
        <w:rPr>
          <w:rFonts w:cs="Times New Roman"/>
          <w:b/>
          <w:bCs/>
        </w:rPr>
        <w:t>The legacy parameter</w:t>
      </w:r>
      <w:r w:rsidRPr="00165DE6">
        <w:rPr>
          <w:rFonts w:cs="Times New Roman"/>
          <w:b/>
          <w:bCs/>
          <w:i/>
          <w:iCs/>
        </w:rPr>
        <w:t xml:space="preserve"> uplinkTxSwitchingPeriod-r16 </w:t>
      </w:r>
      <w:r w:rsidRPr="00165DE6">
        <w:rPr>
          <w:rFonts w:cs="Times New Roman"/>
          <w:b/>
          <w:bCs/>
        </w:rPr>
        <w:t>is applied for both</w:t>
      </w:r>
      <w:r w:rsidRPr="00165DE6">
        <w:rPr>
          <w:rFonts w:cs="Times New Roman"/>
          <w:b/>
          <w:bCs/>
          <w:i/>
          <w:iCs/>
        </w:rPr>
        <w:t xml:space="preserve"> </w:t>
      </w:r>
      <w:r w:rsidRPr="00165DE6">
        <w:rPr>
          <w:rFonts w:cs="Times New Roman"/>
          <w:b/>
          <w:bCs/>
        </w:rPr>
        <w:t>1Tx-1Tx switching and 1Tx-2Tx switching.</w:t>
      </w:r>
    </w:p>
    <w:p w14:paraId="5E7A3C3B" w14:textId="34C68EBC" w:rsidR="00A6692B" w:rsidRPr="00E96CEE" w:rsidRDefault="00A6692B" w:rsidP="00A6692B">
      <w:pPr>
        <w:pStyle w:val="af4"/>
        <w:jc w:val="both"/>
        <w:rPr>
          <w:rFonts w:cs="Times New Roman"/>
          <w:b/>
          <w:bCs/>
        </w:rPr>
      </w:pPr>
      <w:r w:rsidRPr="00165DE6">
        <w:rPr>
          <w:rFonts w:cs="Times New Roman"/>
          <w:b/>
          <w:bCs/>
        </w:rPr>
        <w:t xml:space="preserve">Proposal </w:t>
      </w:r>
      <w:r>
        <w:rPr>
          <w:rFonts w:cs="Times New Roman"/>
          <w:b/>
          <w:bCs/>
        </w:rPr>
        <w:t>2:</w:t>
      </w:r>
      <w:r w:rsidRPr="00165DE6">
        <w:rPr>
          <w:rFonts w:cs="Times New Roman"/>
        </w:rPr>
        <w:t xml:space="preserve"> </w:t>
      </w:r>
      <w:r w:rsidR="00F71148">
        <w:rPr>
          <w:rFonts w:cs="Times New Roman"/>
          <w:b/>
          <w:bCs/>
        </w:rPr>
        <w:t xml:space="preserve">For supporting Rel-18 tx switching fallback capability reporting, the </w:t>
      </w:r>
      <w:r w:rsidR="00F71148" w:rsidRPr="00F71148">
        <w:rPr>
          <w:rFonts w:cs="Times New Roman"/>
          <w:b/>
          <w:bCs/>
        </w:rPr>
        <w:t>UE reports supported Rel-18 tx switching band combinations, and optionally reports supported Rel-16/17 tx switching band combinations for fallback capability reporting</w:t>
      </w:r>
      <w:r w:rsidR="00F71148">
        <w:rPr>
          <w:rFonts w:cs="Times New Roman"/>
          <w:b/>
          <w:bCs/>
        </w:rPr>
        <w:t>.</w:t>
      </w:r>
    </w:p>
    <w:p w14:paraId="411BF479" w14:textId="77777777" w:rsidR="00AF48F0" w:rsidRPr="00AF48F0" w:rsidRDefault="00AF48F0" w:rsidP="003A2AEA">
      <w:pPr>
        <w:pBdr>
          <w:bottom w:val="single" w:sz="12" w:space="1" w:color="auto"/>
        </w:pBdr>
        <w:rPr>
          <w:b/>
          <w:szCs w:val="20"/>
        </w:rPr>
      </w:pPr>
    </w:p>
    <w:p w14:paraId="097CCED1" w14:textId="0E11BEE9" w:rsidR="00541641" w:rsidRDefault="00541641" w:rsidP="00541641">
      <w:pPr>
        <w:pStyle w:val="1"/>
      </w:pPr>
      <w:r>
        <w:lastRenderedPageBreak/>
        <w:t>References</w:t>
      </w:r>
    </w:p>
    <w:p w14:paraId="1191C98D" w14:textId="29330E71" w:rsidR="00541641" w:rsidRPr="00E14384" w:rsidRDefault="002E426F" w:rsidP="00541641">
      <w:pPr>
        <w:pStyle w:val="aa"/>
        <w:widowControl/>
        <w:numPr>
          <w:ilvl w:val="0"/>
          <w:numId w:val="13"/>
        </w:numPr>
        <w:ind w:firstLineChars="0"/>
        <w:jc w:val="left"/>
        <w:rPr>
          <w:rFonts w:ascii="Times New Roman" w:hAnsi="Times New Roman"/>
          <w:sz w:val="20"/>
          <w:szCs w:val="20"/>
        </w:rPr>
      </w:pPr>
      <w:r w:rsidRPr="002E426F">
        <w:rPr>
          <w:rFonts w:ascii="Times New Roman" w:hAnsi="Times New Roman"/>
          <w:sz w:val="20"/>
          <w:szCs w:val="20"/>
        </w:rPr>
        <w:t>R4-2303507</w:t>
      </w:r>
      <w:r w:rsidR="00E96CEE">
        <w:rPr>
          <w:rFonts w:ascii="Times New Roman" w:hAnsi="Times New Roman"/>
          <w:sz w:val="20"/>
          <w:szCs w:val="20"/>
        </w:rPr>
        <w:t>,</w:t>
      </w:r>
      <w:r w:rsidRPr="002E426F">
        <w:rPr>
          <w:rFonts w:ascii="Times New Roman" w:hAnsi="Times New Roman"/>
          <w:sz w:val="20"/>
          <w:szCs w:val="20"/>
        </w:rPr>
        <w:t xml:space="preserve"> LS on Rel-18 Multi-carrier enhancement for NR</w:t>
      </w:r>
    </w:p>
    <w:p w14:paraId="20EDEF21" w14:textId="023B1560" w:rsidR="00541641" w:rsidRPr="00E14384" w:rsidRDefault="00E96CEE" w:rsidP="00541641">
      <w:pPr>
        <w:pStyle w:val="aa"/>
        <w:widowControl/>
        <w:numPr>
          <w:ilvl w:val="0"/>
          <w:numId w:val="13"/>
        </w:numPr>
        <w:ind w:firstLineChars="0"/>
        <w:jc w:val="left"/>
        <w:rPr>
          <w:rFonts w:ascii="Times New Roman" w:hAnsi="Times New Roman"/>
          <w:color w:val="000000"/>
          <w:kern w:val="0"/>
          <w:sz w:val="20"/>
          <w:szCs w:val="20"/>
        </w:rPr>
      </w:pPr>
      <w:r>
        <w:rPr>
          <w:rFonts w:ascii="Times New Roman" w:hAnsi="Times New Roman"/>
          <w:sz w:val="20"/>
          <w:szCs w:val="20"/>
        </w:rPr>
        <w:t>TS 38.306, V17.4.0</w:t>
      </w:r>
    </w:p>
    <w:p w14:paraId="34323547" w14:textId="5671E407" w:rsidR="00A2414B" w:rsidRPr="00A6692B" w:rsidRDefault="00E96CEE" w:rsidP="00A2414B">
      <w:pPr>
        <w:pStyle w:val="aa"/>
        <w:widowControl/>
        <w:numPr>
          <w:ilvl w:val="0"/>
          <w:numId w:val="13"/>
        </w:numPr>
        <w:ind w:firstLineChars="0"/>
        <w:jc w:val="left"/>
        <w:rPr>
          <w:rFonts w:ascii="Times New Roman" w:hAnsi="Times New Roman"/>
          <w:color w:val="000000"/>
          <w:kern w:val="0"/>
          <w:sz w:val="20"/>
          <w:szCs w:val="20"/>
        </w:rPr>
      </w:pPr>
      <w:r w:rsidRPr="00E96CEE">
        <w:rPr>
          <w:rFonts w:ascii="Times New Roman" w:hAnsi="Times New Roman"/>
          <w:color w:val="000000"/>
          <w:kern w:val="0"/>
          <w:sz w:val="20"/>
          <w:szCs w:val="20"/>
        </w:rPr>
        <w:t>R4-2306623</w:t>
      </w:r>
      <w:r>
        <w:rPr>
          <w:rFonts w:ascii="Times New Roman" w:hAnsi="Times New Roman"/>
          <w:color w:val="000000"/>
          <w:kern w:val="0"/>
          <w:sz w:val="20"/>
          <w:szCs w:val="20"/>
        </w:rPr>
        <w:t xml:space="preserve">, </w:t>
      </w:r>
      <w:r w:rsidRPr="00E96CEE">
        <w:rPr>
          <w:rFonts w:ascii="Times New Roman" w:hAnsi="Times New Roman"/>
          <w:color w:val="000000"/>
          <w:kern w:val="0"/>
          <w:sz w:val="20"/>
          <w:szCs w:val="20"/>
        </w:rPr>
        <w:t>LS on Rel-18 Tx switching across 3/4 bands</w:t>
      </w:r>
    </w:p>
    <w:sectPr w:rsidR="00A2414B" w:rsidRPr="00A6692B" w:rsidSect="00F27036">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0647EB" w14:textId="77777777" w:rsidR="005E159C" w:rsidRDefault="005E159C" w:rsidP="003E7FE5">
      <w:r>
        <w:separator/>
      </w:r>
    </w:p>
  </w:endnote>
  <w:endnote w:type="continuationSeparator" w:id="0">
    <w:p w14:paraId="0ED916C6" w14:textId="77777777" w:rsidR="005E159C" w:rsidRDefault="005E159C" w:rsidP="003E7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02B3D8" w14:textId="77777777" w:rsidR="005E159C" w:rsidRDefault="005E159C" w:rsidP="003E7FE5">
      <w:r>
        <w:separator/>
      </w:r>
    </w:p>
  </w:footnote>
  <w:footnote w:type="continuationSeparator" w:id="0">
    <w:p w14:paraId="118BA655" w14:textId="77777777" w:rsidR="005E159C" w:rsidRDefault="005E159C" w:rsidP="003E7F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89"/>
    <w:multiLevelType w:val="singleLevel"/>
    <w:tmpl w:val="EC52BC6C"/>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DDE2F35"/>
    <w:multiLevelType w:val="multilevel"/>
    <w:tmpl w:val="0DDE2F35"/>
    <w:lvl w:ilvl="0">
      <w:start w:val="16"/>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EB14F99"/>
    <w:multiLevelType w:val="multilevel"/>
    <w:tmpl w:val="0EB14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7D6850"/>
    <w:multiLevelType w:val="hybridMultilevel"/>
    <w:tmpl w:val="3B50C36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ABC4FCA"/>
    <w:multiLevelType w:val="multilevel"/>
    <w:tmpl w:val="1ABC4FCA"/>
    <w:lvl w:ilvl="0">
      <w:start w:val="1"/>
      <w:numFmt w:val="decimal"/>
      <w:lvlText w:val="Proposal %1"/>
      <w:lvlJc w:val="left"/>
      <w:pPr>
        <w:ind w:left="2116" w:hanging="132"/>
      </w:pPr>
      <w:rPr>
        <w:rFonts w:hint="eastAsia"/>
      </w:rPr>
    </w:lvl>
    <w:lvl w:ilvl="1">
      <w:start w:val="1"/>
      <w:numFmt w:val="lowerLetter"/>
      <w:lvlText w:val="%2)"/>
      <w:lvlJc w:val="left"/>
      <w:pPr>
        <w:ind w:left="2824" w:hanging="420"/>
      </w:pPr>
    </w:lvl>
    <w:lvl w:ilvl="2">
      <w:start w:val="1"/>
      <w:numFmt w:val="lowerRoman"/>
      <w:lvlText w:val="%3."/>
      <w:lvlJc w:val="right"/>
      <w:pPr>
        <w:ind w:left="3244" w:hanging="420"/>
      </w:pPr>
    </w:lvl>
    <w:lvl w:ilvl="3">
      <w:start w:val="1"/>
      <w:numFmt w:val="decimal"/>
      <w:lvlText w:val="%4."/>
      <w:lvlJc w:val="left"/>
      <w:pPr>
        <w:ind w:left="3664" w:hanging="420"/>
      </w:pPr>
    </w:lvl>
    <w:lvl w:ilvl="4">
      <w:start w:val="1"/>
      <w:numFmt w:val="lowerLetter"/>
      <w:lvlText w:val="%5)"/>
      <w:lvlJc w:val="left"/>
      <w:pPr>
        <w:ind w:left="4084" w:hanging="420"/>
      </w:pPr>
    </w:lvl>
    <w:lvl w:ilvl="5">
      <w:start w:val="1"/>
      <w:numFmt w:val="lowerRoman"/>
      <w:lvlText w:val="%6."/>
      <w:lvlJc w:val="right"/>
      <w:pPr>
        <w:ind w:left="4504" w:hanging="420"/>
      </w:pPr>
    </w:lvl>
    <w:lvl w:ilvl="6">
      <w:start w:val="1"/>
      <w:numFmt w:val="decimal"/>
      <w:lvlText w:val="%7."/>
      <w:lvlJc w:val="left"/>
      <w:pPr>
        <w:ind w:left="4924" w:hanging="420"/>
      </w:pPr>
    </w:lvl>
    <w:lvl w:ilvl="7">
      <w:start w:val="1"/>
      <w:numFmt w:val="lowerLetter"/>
      <w:lvlText w:val="%8)"/>
      <w:lvlJc w:val="left"/>
      <w:pPr>
        <w:ind w:left="5344" w:hanging="420"/>
      </w:pPr>
    </w:lvl>
    <w:lvl w:ilvl="8">
      <w:start w:val="1"/>
      <w:numFmt w:val="lowerRoman"/>
      <w:lvlText w:val="%9."/>
      <w:lvlJc w:val="right"/>
      <w:pPr>
        <w:ind w:left="5764" w:hanging="420"/>
      </w:pPr>
    </w:lvl>
  </w:abstractNum>
  <w:abstractNum w:abstractNumId="6" w15:restartNumberingAfterBreak="0">
    <w:nsid w:val="33FB5BE3"/>
    <w:multiLevelType w:val="hybridMultilevel"/>
    <w:tmpl w:val="D19E521C"/>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411879AB"/>
    <w:multiLevelType w:val="hybridMultilevel"/>
    <w:tmpl w:val="AA38BA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9B85540"/>
    <w:multiLevelType w:val="hybridMultilevel"/>
    <w:tmpl w:val="A332590E"/>
    <w:lvl w:ilvl="0" w:tplc="4CD4B8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E9F627B"/>
    <w:multiLevelType w:val="multilevel"/>
    <w:tmpl w:val="4E9F62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4AA381C"/>
    <w:multiLevelType w:val="hybridMultilevel"/>
    <w:tmpl w:val="9658312A"/>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01F415D"/>
    <w:multiLevelType w:val="multilevel"/>
    <w:tmpl w:val="F14EC5B6"/>
    <w:lvl w:ilvl="0">
      <w:start w:val="1"/>
      <w:numFmt w:val="decimal"/>
      <w:pStyle w:val="1"/>
      <w:lvlText w:val="%1."/>
      <w:lvlJc w:val="left"/>
      <w:pPr>
        <w:ind w:left="0" w:firstLine="0"/>
      </w:pPr>
      <w:rPr>
        <w:rFonts w:hint="eastAsia"/>
      </w:rPr>
    </w:lvl>
    <w:lvl w:ilvl="1">
      <w:start w:val="1"/>
      <w:numFmt w:val="decimal"/>
      <w:pStyle w:val="2"/>
      <w:lvlText w:val="%1.%2."/>
      <w:lvlJc w:val="left"/>
      <w:pPr>
        <w:ind w:left="0" w:firstLine="0"/>
      </w:pPr>
      <w:rPr>
        <w:rFonts w:hint="eastAsia"/>
      </w:rPr>
    </w:lvl>
    <w:lvl w:ilvl="2">
      <w:start w:val="1"/>
      <w:numFmt w:val="decimal"/>
      <w:pStyle w:val="3"/>
      <w:lvlText w:val="%1.%2.%3."/>
      <w:lvlJc w:val="left"/>
      <w:pPr>
        <w:ind w:left="0" w:firstLine="0"/>
      </w:pPr>
      <w:rPr>
        <w:rFonts w:hint="eastAsia"/>
      </w:rPr>
    </w:lvl>
    <w:lvl w:ilvl="3">
      <w:start w:val="1"/>
      <w:numFmt w:val="decimal"/>
      <w:pStyle w:val="4"/>
      <w:lvlText w:val="%1.%2.%3.%4."/>
      <w:lvlJc w:val="left"/>
      <w:pPr>
        <w:ind w:left="0" w:firstLine="0"/>
      </w:pPr>
      <w:rPr>
        <w:rFonts w:hint="eastAsia"/>
      </w:rPr>
    </w:lvl>
    <w:lvl w:ilvl="4">
      <w:start w:val="1"/>
      <w:numFmt w:val="decimal"/>
      <w:pStyle w:val="5"/>
      <w:lvlText w:val="%1.%2.%3.%4.%5."/>
      <w:lvlJc w:val="left"/>
      <w:pPr>
        <w:ind w:left="0" w:firstLine="0"/>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2" w15:restartNumberingAfterBreak="0">
    <w:nsid w:val="68491546"/>
    <w:multiLevelType w:val="multilevel"/>
    <w:tmpl w:val="68491546"/>
    <w:lvl w:ilvl="0">
      <w:start w:val="1"/>
      <w:numFmt w:val="decimal"/>
      <w:lvlText w:val="Observation %1"/>
      <w:lvlJc w:val="left"/>
      <w:pPr>
        <w:ind w:left="132" w:hanging="132"/>
      </w:pPr>
      <w:rPr>
        <w:rFonts w:hint="eastAsia"/>
      </w:rPr>
    </w:lvl>
    <w:lvl w:ilvl="1">
      <w:start w:val="1"/>
      <w:numFmt w:val="lowerLetter"/>
      <w:lvlText w:val="%2)"/>
      <w:lvlJc w:val="left"/>
      <w:pPr>
        <w:ind w:left="552" w:hanging="420"/>
      </w:pPr>
    </w:lvl>
    <w:lvl w:ilvl="2">
      <w:start w:val="1"/>
      <w:numFmt w:val="lowerRoman"/>
      <w:lvlText w:val="%3."/>
      <w:lvlJc w:val="right"/>
      <w:pPr>
        <w:ind w:left="972" w:hanging="420"/>
      </w:pPr>
    </w:lvl>
    <w:lvl w:ilvl="3">
      <w:start w:val="1"/>
      <w:numFmt w:val="decimal"/>
      <w:lvlText w:val="%4."/>
      <w:lvlJc w:val="left"/>
      <w:pPr>
        <w:ind w:left="1392" w:hanging="420"/>
      </w:pPr>
    </w:lvl>
    <w:lvl w:ilvl="4">
      <w:start w:val="1"/>
      <w:numFmt w:val="lowerLetter"/>
      <w:lvlText w:val="%5)"/>
      <w:lvlJc w:val="left"/>
      <w:pPr>
        <w:ind w:left="1812" w:hanging="420"/>
      </w:pPr>
    </w:lvl>
    <w:lvl w:ilvl="5">
      <w:start w:val="1"/>
      <w:numFmt w:val="lowerRoman"/>
      <w:lvlText w:val="%6."/>
      <w:lvlJc w:val="right"/>
      <w:pPr>
        <w:ind w:left="2232" w:hanging="420"/>
      </w:pPr>
    </w:lvl>
    <w:lvl w:ilvl="6">
      <w:start w:val="1"/>
      <w:numFmt w:val="decimal"/>
      <w:lvlText w:val="%7."/>
      <w:lvlJc w:val="left"/>
      <w:pPr>
        <w:ind w:left="2652" w:hanging="420"/>
      </w:pPr>
    </w:lvl>
    <w:lvl w:ilvl="7">
      <w:start w:val="1"/>
      <w:numFmt w:val="lowerLetter"/>
      <w:lvlText w:val="%8)"/>
      <w:lvlJc w:val="left"/>
      <w:pPr>
        <w:ind w:left="3072" w:hanging="420"/>
      </w:pPr>
    </w:lvl>
    <w:lvl w:ilvl="8">
      <w:start w:val="1"/>
      <w:numFmt w:val="lowerRoman"/>
      <w:lvlText w:val="%9."/>
      <w:lvlJc w:val="right"/>
      <w:pPr>
        <w:ind w:left="3492" w:hanging="420"/>
      </w:pPr>
    </w:lvl>
  </w:abstractNum>
  <w:abstractNum w:abstractNumId="13" w15:restartNumberingAfterBreak="0">
    <w:nsid w:val="6B0442C7"/>
    <w:multiLevelType w:val="multilevel"/>
    <w:tmpl w:val="6B0442C7"/>
    <w:lvl w:ilvl="0">
      <w:start w:val="8"/>
      <w:numFmt w:val="bullet"/>
      <w:lvlText w:val=""/>
      <w:lvlJc w:val="left"/>
      <w:pPr>
        <w:ind w:left="420" w:hanging="420"/>
      </w:pPr>
      <w:rPr>
        <w:rFonts w:ascii="Symbol" w:eastAsia="Calibri"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6BD34F3B"/>
    <w:multiLevelType w:val="multilevel"/>
    <w:tmpl w:val="6BD34F3B"/>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6EE511DF"/>
    <w:multiLevelType w:val="multilevel"/>
    <w:tmpl w:val="6EE511DF"/>
    <w:lvl w:ilvl="0">
      <w:start w:val="1"/>
      <w:numFmt w:val="decimal"/>
      <w:lvlText w:val="Observation %1"/>
      <w:lvlJc w:val="left"/>
      <w:pPr>
        <w:ind w:left="132" w:hanging="132"/>
      </w:pPr>
      <w:rPr>
        <w:rFonts w:hint="eastAsia"/>
      </w:rPr>
    </w:lvl>
    <w:lvl w:ilvl="1">
      <w:start w:val="1"/>
      <w:numFmt w:val="lowerLetter"/>
      <w:lvlText w:val="%2)"/>
      <w:lvlJc w:val="left"/>
      <w:pPr>
        <w:ind w:left="552" w:hanging="420"/>
      </w:pPr>
    </w:lvl>
    <w:lvl w:ilvl="2">
      <w:start w:val="1"/>
      <w:numFmt w:val="lowerRoman"/>
      <w:lvlText w:val="%3."/>
      <w:lvlJc w:val="right"/>
      <w:pPr>
        <w:ind w:left="972" w:hanging="420"/>
      </w:pPr>
    </w:lvl>
    <w:lvl w:ilvl="3">
      <w:start w:val="1"/>
      <w:numFmt w:val="decimal"/>
      <w:lvlText w:val="%4."/>
      <w:lvlJc w:val="left"/>
      <w:pPr>
        <w:ind w:left="1392" w:hanging="420"/>
      </w:pPr>
    </w:lvl>
    <w:lvl w:ilvl="4">
      <w:start w:val="1"/>
      <w:numFmt w:val="lowerLetter"/>
      <w:lvlText w:val="%5)"/>
      <w:lvlJc w:val="left"/>
      <w:pPr>
        <w:ind w:left="1812" w:hanging="420"/>
      </w:pPr>
    </w:lvl>
    <w:lvl w:ilvl="5">
      <w:start w:val="1"/>
      <w:numFmt w:val="lowerRoman"/>
      <w:lvlText w:val="%6."/>
      <w:lvlJc w:val="right"/>
      <w:pPr>
        <w:ind w:left="2232" w:hanging="420"/>
      </w:pPr>
    </w:lvl>
    <w:lvl w:ilvl="6">
      <w:start w:val="1"/>
      <w:numFmt w:val="decimal"/>
      <w:lvlText w:val="%7."/>
      <w:lvlJc w:val="left"/>
      <w:pPr>
        <w:ind w:left="2652" w:hanging="420"/>
      </w:pPr>
    </w:lvl>
    <w:lvl w:ilvl="7">
      <w:start w:val="1"/>
      <w:numFmt w:val="lowerLetter"/>
      <w:lvlText w:val="%8)"/>
      <w:lvlJc w:val="left"/>
      <w:pPr>
        <w:ind w:left="3072" w:hanging="420"/>
      </w:pPr>
    </w:lvl>
    <w:lvl w:ilvl="8">
      <w:start w:val="1"/>
      <w:numFmt w:val="lowerRoman"/>
      <w:lvlText w:val="%9."/>
      <w:lvlJc w:val="right"/>
      <w:pPr>
        <w:ind w:left="3492" w:hanging="420"/>
      </w:pPr>
    </w:lvl>
  </w:abstractNum>
  <w:abstractNum w:abstractNumId="16" w15:restartNumberingAfterBreak="0">
    <w:nsid w:val="77154095"/>
    <w:multiLevelType w:val="multilevel"/>
    <w:tmpl w:val="B8343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7FC91793"/>
    <w:multiLevelType w:val="hybridMultilevel"/>
    <w:tmpl w:val="2B2A7094"/>
    <w:lvl w:ilvl="0" w:tplc="C6369E86">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3"/>
  </w:num>
  <w:num w:numId="3">
    <w:abstractNumId w:val="9"/>
  </w:num>
  <w:num w:numId="4">
    <w:abstractNumId w:val="2"/>
  </w:num>
  <w:num w:numId="5">
    <w:abstractNumId w:val="15"/>
  </w:num>
  <w:num w:numId="6">
    <w:abstractNumId w:val="14"/>
  </w:num>
  <w:num w:numId="7">
    <w:abstractNumId w:val="7"/>
  </w:num>
  <w:num w:numId="8">
    <w:abstractNumId w:val="4"/>
  </w:num>
  <w:num w:numId="9">
    <w:abstractNumId w:val="16"/>
  </w:num>
  <w:num w:numId="10">
    <w:abstractNumId w:val="6"/>
  </w:num>
  <w:num w:numId="11">
    <w:abstractNumId w:val="12"/>
  </w:num>
  <w:num w:numId="12">
    <w:abstractNumId w:val="5"/>
  </w:num>
  <w:num w:numId="13">
    <w:abstractNumId w:val="17"/>
  </w:num>
  <w:num w:numId="14">
    <w:abstractNumId w:val="3"/>
  </w:num>
  <w:num w:numId="15">
    <w:abstractNumId w:val="10"/>
  </w:num>
  <w:num w:numId="16">
    <w:abstractNumId w:val="1"/>
  </w:num>
  <w:num w:numId="17">
    <w:abstractNumId w:val="0"/>
  </w:num>
  <w:num w:numId="18">
    <w:abstractNumId w:val="8"/>
  </w: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17F6"/>
    <w:rsid w:val="00013CA5"/>
    <w:rsid w:val="00034AE9"/>
    <w:rsid w:val="000444C5"/>
    <w:rsid w:val="00047F01"/>
    <w:rsid w:val="00050EF2"/>
    <w:rsid w:val="0006132B"/>
    <w:rsid w:val="00077CB0"/>
    <w:rsid w:val="00087279"/>
    <w:rsid w:val="000A3A3B"/>
    <w:rsid w:val="000E758D"/>
    <w:rsid w:val="000F0640"/>
    <w:rsid w:val="001121CD"/>
    <w:rsid w:val="001129D4"/>
    <w:rsid w:val="001410D9"/>
    <w:rsid w:val="001445FB"/>
    <w:rsid w:val="001448D5"/>
    <w:rsid w:val="0016785A"/>
    <w:rsid w:val="0017273B"/>
    <w:rsid w:val="00194C84"/>
    <w:rsid w:val="001A25FC"/>
    <w:rsid w:val="001A2E65"/>
    <w:rsid w:val="001A5E91"/>
    <w:rsid w:val="00211D99"/>
    <w:rsid w:val="00214A6C"/>
    <w:rsid w:val="002541C7"/>
    <w:rsid w:val="0026661A"/>
    <w:rsid w:val="00284C62"/>
    <w:rsid w:val="002855E3"/>
    <w:rsid w:val="00292F23"/>
    <w:rsid w:val="002A4CB7"/>
    <w:rsid w:val="002A5FBD"/>
    <w:rsid w:val="002B1637"/>
    <w:rsid w:val="002B351A"/>
    <w:rsid w:val="002C273C"/>
    <w:rsid w:val="002C4919"/>
    <w:rsid w:val="002E426F"/>
    <w:rsid w:val="002E7299"/>
    <w:rsid w:val="003144E6"/>
    <w:rsid w:val="003153AB"/>
    <w:rsid w:val="00343E37"/>
    <w:rsid w:val="003777D8"/>
    <w:rsid w:val="00380609"/>
    <w:rsid w:val="0038200A"/>
    <w:rsid w:val="00385BCD"/>
    <w:rsid w:val="00386243"/>
    <w:rsid w:val="00392CF2"/>
    <w:rsid w:val="00394D3B"/>
    <w:rsid w:val="003A2AEA"/>
    <w:rsid w:val="003B4E47"/>
    <w:rsid w:val="003B656F"/>
    <w:rsid w:val="003E7FE5"/>
    <w:rsid w:val="003F5429"/>
    <w:rsid w:val="004229EB"/>
    <w:rsid w:val="00427623"/>
    <w:rsid w:val="004526A5"/>
    <w:rsid w:val="004A21A1"/>
    <w:rsid w:val="004D0653"/>
    <w:rsid w:val="004E29CA"/>
    <w:rsid w:val="004F599D"/>
    <w:rsid w:val="004F773B"/>
    <w:rsid w:val="00500EFE"/>
    <w:rsid w:val="005017F6"/>
    <w:rsid w:val="00536C5B"/>
    <w:rsid w:val="00541641"/>
    <w:rsid w:val="0055188C"/>
    <w:rsid w:val="00572C05"/>
    <w:rsid w:val="005A4CFB"/>
    <w:rsid w:val="005A680C"/>
    <w:rsid w:val="005C100D"/>
    <w:rsid w:val="005E159C"/>
    <w:rsid w:val="00600071"/>
    <w:rsid w:val="006011D9"/>
    <w:rsid w:val="00624E50"/>
    <w:rsid w:val="006419F8"/>
    <w:rsid w:val="00656556"/>
    <w:rsid w:val="00670BA2"/>
    <w:rsid w:val="00675CA4"/>
    <w:rsid w:val="00690A1F"/>
    <w:rsid w:val="006B0026"/>
    <w:rsid w:val="00701B54"/>
    <w:rsid w:val="0073196B"/>
    <w:rsid w:val="00756311"/>
    <w:rsid w:val="00762D81"/>
    <w:rsid w:val="00775F8A"/>
    <w:rsid w:val="007801CA"/>
    <w:rsid w:val="007933C2"/>
    <w:rsid w:val="007A0BEB"/>
    <w:rsid w:val="007B68E3"/>
    <w:rsid w:val="007C1459"/>
    <w:rsid w:val="007C761D"/>
    <w:rsid w:val="007E174A"/>
    <w:rsid w:val="007E197F"/>
    <w:rsid w:val="00804755"/>
    <w:rsid w:val="008158E4"/>
    <w:rsid w:val="00831490"/>
    <w:rsid w:val="008A0860"/>
    <w:rsid w:val="008A52CB"/>
    <w:rsid w:val="008D6FFA"/>
    <w:rsid w:val="008E08F7"/>
    <w:rsid w:val="008F4F46"/>
    <w:rsid w:val="00913ACC"/>
    <w:rsid w:val="0091483E"/>
    <w:rsid w:val="009320AD"/>
    <w:rsid w:val="00970C8D"/>
    <w:rsid w:val="00977917"/>
    <w:rsid w:val="0099411E"/>
    <w:rsid w:val="009A4A8D"/>
    <w:rsid w:val="009A760A"/>
    <w:rsid w:val="009B4524"/>
    <w:rsid w:val="009B7AAC"/>
    <w:rsid w:val="009C2B9D"/>
    <w:rsid w:val="009D02D9"/>
    <w:rsid w:val="009D20AB"/>
    <w:rsid w:val="00A03F0A"/>
    <w:rsid w:val="00A05584"/>
    <w:rsid w:val="00A2414B"/>
    <w:rsid w:val="00A36B0F"/>
    <w:rsid w:val="00A6692B"/>
    <w:rsid w:val="00A93A63"/>
    <w:rsid w:val="00A95FAE"/>
    <w:rsid w:val="00A9772D"/>
    <w:rsid w:val="00AD031B"/>
    <w:rsid w:val="00AF48F0"/>
    <w:rsid w:val="00AF4CE4"/>
    <w:rsid w:val="00B1430E"/>
    <w:rsid w:val="00B22A4A"/>
    <w:rsid w:val="00B3204D"/>
    <w:rsid w:val="00B4348E"/>
    <w:rsid w:val="00B446DC"/>
    <w:rsid w:val="00B446F1"/>
    <w:rsid w:val="00B868C1"/>
    <w:rsid w:val="00BA57C4"/>
    <w:rsid w:val="00BA70E1"/>
    <w:rsid w:val="00BF43BA"/>
    <w:rsid w:val="00C052EE"/>
    <w:rsid w:val="00C06DD9"/>
    <w:rsid w:val="00C156A6"/>
    <w:rsid w:val="00C22CF3"/>
    <w:rsid w:val="00C460E9"/>
    <w:rsid w:val="00C5244F"/>
    <w:rsid w:val="00C57EB4"/>
    <w:rsid w:val="00C7419D"/>
    <w:rsid w:val="00C8150B"/>
    <w:rsid w:val="00CD02FB"/>
    <w:rsid w:val="00CF4EDB"/>
    <w:rsid w:val="00D0686A"/>
    <w:rsid w:val="00D114AE"/>
    <w:rsid w:val="00D62CF7"/>
    <w:rsid w:val="00D801CB"/>
    <w:rsid w:val="00D8388D"/>
    <w:rsid w:val="00D97559"/>
    <w:rsid w:val="00DA6D01"/>
    <w:rsid w:val="00DC71A7"/>
    <w:rsid w:val="00DE717C"/>
    <w:rsid w:val="00DE742A"/>
    <w:rsid w:val="00DF7126"/>
    <w:rsid w:val="00E14384"/>
    <w:rsid w:val="00E165F2"/>
    <w:rsid w:val="00E16EEA"/>
    <w:rsid w:val="00E3582D"/>
    <w:rsid w:val="00E443C4"/>
    <w:rsid w:val="00E871C0"/>
    <w:rsid w:val="00E87241"/>
    <w:rsid w:val="00E95E8A"/>
    <w:rsid w:val="00E96CEE"/>
    <w:rsid w:val="00EB2590"/>
    <w:rsid w:val="00EE1EA1"/>
    <w:rsid w:val="00EF37B8"/>
    <w:rsid w:val="00F20B0A"/>
    <w:rsid w:val="00F27036"/>
    <w:rsid w:val="00F46F52"/>
    <w:rsid w:val="00F66CFB"/>
    <w:rsid w:val="00F71148"/>
    <w:rsid w:val="00F8561D"/>
    <w:rsid w:val="00FA2A01"/>
    <w:rsid w:val="00FE18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7FB237"/>
  <w15:chartTrackingRefBased/>
  <w15:docId w15:val="{053B47CD-ED44-4D19-9D6A-C0C937DEE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heme="minorBidi"/>
        <w:kern w:val="2"/>
        <w:szCs w:val="21"/>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E7FE5"/>
    <w:pPr>
      <w:widowControl w:val="0"/>
      <w:jc w:val="both"/>
    </w:pPr>
  </w:style>
  <w:style w:type="paragraph" w:styleId="1">
    <w:name w:val="heading 1"/>
    <w:basedOn w:val="a"/>
    <w:next w:val="a"/>
    <w:link w:val="10"/>
    <w:uiPriority w:val="9"/>
    <w:qFormat/>
    <w:rsid w:val="00C052EE"/>
    <w:pPr>
      <w:keepNext/>
      <w:keepLines/>
      <w:widowControl/>
      <w:numPr>
        <w:numId w:val="1"/>
      </w:numPr>
      <w:spacing w:before="60" w:after="60"/>
      <w:ind w:left="1134" w:hanging="1134"/>
      <w:outlineLvl w:val="0"/>
    </w:pPr>
    <w:rPr>
      <w:rFonts w:ascii="Arial" w:hAnsi="Arial" w:cs="Arial"/>
      <w:bCs/>
      <w:kern w:val="44"/>
      <w:sz w:val="36"/>
      <w:szCs w:val="36"/>
    </w:rPr>
  </w:style>
  <w:style w:type="paragraph" w:styleId="2">
    <w:name w:val="heading 2"/>
    <w:basedOn w:val="a"/>
    <w:next w:val="a"/>
    <w:link w:val="20"/>
    <w:uiPriority w:val="9"/>
    <w:qFormat/>
    <w:rsid w:val="00C052EE"/>
    <w:pPr>
      <w:keepNext/>
      <w:keepLines/>
      <w:widowControl/>
      <w:numPr>
        <w:ilvl w:val="1"/>
        <w:numId w:val="1"/>
      </w:numPr>
      <w:ind w:left="1134" w:hanging="1134"/>
      <w:outlineLvl w:val="1"/>
    </w:pPr>
    <w:rPr>
      <w:rFonts w:ascii="Arial" w:eastAsiaTheme="majorEastAsia" w:hAnsi="Arial" w:cs="Arial"/>
      <w:bCs/>
      <w:sz w:val="32"/>
      <w:szCs w:val="32"/>
    </w:rPr>
  </w:style>
  <w:style w:type="paragraph" w:styleId="3">
    <w:name w:val="heading 3"/>
    <w:basedOn w:val="a"/>
    <w:next w:val="a"/>
    <w:link w:val="30"/>
    <w:uiPriority w:val="9"/>
    <w:qFormat/>
    <w:rsid w:val="00C052EE"/>
    <w:pPr>
      <w:keepNext/>
      <w:keepLines/>
      <w:widowControl/>
      <w:numPr>
        <w:ilvl w:val="2"/>
        <w:numId w:val="1"/>
      </w:numPr>
      <w:ind w:left="1134" w:hanging="1134"/>
      <w:outlineLvl w:val="2"/>
    </w:pPr>
    <w:rPr>
      <w:rFonts w:ascii="Arial" w:hAnsi="Arial" w:cs="Arial"/>
      <w:bCs/>
      <w:sz w:val="28"/>
      <w:szCs w:val="28"/>
    </w:rPr>
  </w:style>
  <w:style w:type="paragraph" w:styleId="4">
    <w:name w:val="heading 4"/>
    <w:basedOn w:val="a"/>
    <w:next w:val="a"/>
    <w:link w:val="40"/>
    <w:uiPriority w:val="9"/>
    <w:qFormat/>
    <w:rsid w:val="00C052EE"/>
    <w:pPr>
      <w:keepNext/>
      <w:keepLines/>
      <w:widowControl/>
      <w:numPr>
        <w:ilvl w:val="3"/>
        <w:numId w:val="1"/>
      </w:numPr>
      <w:ind w:left="1134" w:hanging="1134"/>
      <w:outlineLvl w:val="3"/>
    </w:pPr>
    <w:rPr>
      <w:rFonts w:ascii="Arial" w:eastAsiaTheme="majorEastAsia" w:hAnsi="Arial" w:cs="Arial"/>
      <w:bCs/>
      <w:sz w:val="24"/>
      <w:szCs w:val="24"/>
    </w:rPr>
  </w:style>
  <w:style w:type="paragraph" w:styleId="5">
    <w:name w:val="heading 5"/>
    <w:basedOn w:val="a"/>
    <w:next w:val="a"/>
    <w:link w:val="50"/>
    <w:uiPriority w:val="9"/>
    <w:qFormat/>
    <w:rsid w:val="00C052EE"/>
    <w:pPr>
      <w:keepNext/>
      <w:keepLines/>
      <w:widowControl/>
      <w:numPr>
        <w:ilvl w:val="4"/>
        <w:numId w:val="1"/>
      </w:numPr>
      <w:ind w:left="1134" w:hanging="1134"/>
      <w:outlineLvl w:val="4"/>
    </w:pPr>
    <w:rPr>
      <w:rFonts w:ascii="Arial" w:hAnsi="Arial" w:cs="Arial"/>
      <w:bCs/>
      <w:sz w:val="22"/>
      <w:szCs w:val="22"/>
    </w:rPr>
  </w:style>
  <w:style w:type="paragraph" w:styleId="6">
    <w:name w:val="heading 6"/>
    <w:basedOn w:val="a"/>
    <w:next w:val="a"/>
    <w:link w:val="60"/>
    <w:uiPriority w:val="9"/>
    <w:unhideWhenUsed/>
    <w:qFormat/>
    <w:rsid w:val="00AD031B"/>
    <w:pPr>
      <w:keepNext/>
      <w:keepLines/>
      <w:spacing w:before="40"/>
      <w:outlineLvl w:val="5"/>
    </w:pPr>
    <w:rPr>
      <w:rFonts w:asciiTheme="majorHAnsi" w:eastAsiaTheme="majorEastAsia" w:hAnsiTheme="majorHAnsi" w:cstheme="majorBidi"/>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E7FE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E7FE5"/>
    <w:rPr>
      <w:sz w:val="18"/>
      <w:szCs w:val="18"/>
    </w:rPr>
  </w:style>
  <w:style w:type="paragraph" w:styleId="a5">
    <w:name w:val="footer"/>
    <w:basedOn w:val="a"/>
    <w:link w:val="a6"/>
    <w:uiPriority w:val="99"/>
    <w:unhideWhenUsed/>
    <w:rsid w:val="003E7FE5"/>
    <w:pPr>
      <w:tabs>
        <w:tab w:val="center" w:pos="4153"/>
        <w:tab w:val="right" w:pos="8306"/>
      </w:tabs>
      <w:snapToGrid w:val="0"/>
      <w:jc w:val="left"/>
    </w:pPr>
    <w:rPr>
      <w:sz w:val="18"/>
      <w:szCs w:val="18"/>
    </w:rPr>
  </w:style>
  <w:style w:type="character" w:customStyle="1" w:styleId="a6">
    <w:name w:val="页脚 字符"/>
    <w:basedOn w:val="a0"/>
    <w:link w:val="a5"/>
    <w:uiPriority w:val="99"/>
    <w:rsid w:val="003E7FE5"/>
    <w:rPr>
      <w:sz w:val="18"/>
      <w:szCs w:val="18"/>
    </w:rPr>
  </w:style>
  <w:style w:type="character" w:customStyle="1" w:styleId="10">
    <w:name w:val="标题 1 字符"/>
    <w:basedOn w:val="a0"/>
    <w:link w:val="1"/>
    <w:uiPriority w:val="9"/>
    <w:rsid w:val="00C052EE"/>
    <w:rPr>
      <w:rFonts w:ascii="Arial" w:hAnsi="Arial" w:cs="Arial"/>
      <w:bCs/>
      <w:kern w:val="44"/>
      <w:sz w:val="36"/>
      <w:szCs w:val="36"/>
    </w:rPr>
  </w:style>
  <w:style w:type="character" w:customStyle="1" w:styleId="20">
    <w:name w:val="标题 2 字符"/>
    <w:basedOn w:val="a0"/>
    <w:link w:val="2"/>
    <w:uiPriority w:val="9"/>
    <w:rsid w:val="00C052EE"/>
    <w:rPr>
      <w:rFonts w:ascii="Arial" w:eastAsiaTheme="majorEastAsia" w:hAnsi="Arial" w:cs="Arial"/>
      <w:bCs/>
      <w:sz w:val="32"/>
      <w:szCs w:val="32"/>
    </w:rPr>
  </w:style>
  <w:style w:type="character" w:customStyle="1" w:styleId="30">
    <w:name w:val="标题 3 字符"/>
    <w:basedOn w:val="a0"/>
    <w:link w:val="3"/>
    <w:uiPriority w:val="9"/>
    <w:rsid w:val="00C052EE"/>
    <w:rPr>
      <w:rFonts w:ascii="Arial" w:hAnsi="Arial" w:cs="Arial"/>
      <w:bCs/>
      <w:sz w:val="28"/>
      <w:szCs w:val="28"/>
    </w:rPr>
  </w:style>
  <w:style w:type="character" w:customStyle="1" w:styleId="40">
    <w:name w:val="标题 4 字符"/>
    <w:basedOn w:val="a0"/>
    <w:link w:val="4"/>
    <w:uiPriority w:val="9"/>
    <w:rsid w:val="00C052EE"/>
    <w:rPr>
      <w:rFonts w:ascii="Arial" w:eastAsiaTheme="majorEastAsia" w:hAnsi="Arial" w:cs="Arial"/>
      <w:bCs/>
      <w:sz w:val="24"/>
      <w:szCs w:val="24"/>
    </w:rPr>
  </w:style>
  <w:style w:type="character" w:customStyle="1" w:styleId="50">
    <w:name w:val="标题 5 字符"/>
    <w:basedOn w:val="a0"/>
    <w:link w:val="5"/>
    <w:uiPriority w:val="9"/>
    <w:rsid w:val="00C052EE"/>
    <w:rPr>
      <w:rFonts w:ascii="Arial" w:hAnsi="Arial" w:cs="Arial"/>
      <w:bCs/>
      <w:sz w:val="22"/>
      <w:szCs w:val="22"/>
    </w:rPr>
  </w:style>
  <w:style w:type="table" w:styleId="a7">
    <w:name w:val="Table Grid"/>
    <w:basedOn w:val="a1"/>
    <w:qFormat/>
    <w:rsid w:val="00541641"/>
    <w:rPr>
      <w:rFonts w:eastAsia="Malgun Gothic"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w:basedOn w:val="a"/>
    <w:link w:val="11"/>
    <w:qFormat/>
    <w:rsid w:val="00541641"/>
    <w:pPr>
      <w:widowControl/>
      <w:spacing w:after="120"/>
    </w:pPr>
    <w:rPr>
      <w:rFonts w:eastAsia="MS Mincho" w:cs="Times New Roman"/>
      <w:kern w:val="0"/>
      <w:szCs w:val="24"/>
      <w:lang w:eastAsia="en-US"/>
    </w:rPr>
  </w:style>
  <w:style w:type="character" w:customStyle="1" w:styleId="a9">
    <w:name w:val="正文文本 字符"/>
    <w:basedOn w:val="a0"/>
    <w:uiPriority w:val="99"/>
    <w:semiHidden/>
    <w:rsid w:val="00541641"/>
  </w:style>
  <w:style w:type="character" w:customStyle="1" w:styleId="11">
    <w:name w:val="正文文本 字符1"/>
    <w:link w:val="a8"/>
    <w:qFormat/>
    <w:rsid w:val="00541641"/>
    <w:rPr>
      <w:rFonts w:eastAsia="MS Mincho" w:cs="Times New Roman"/>
      <w:kern w:val="0"/>
      <w:szCs w:val="24"/>
      <w:lang w:eastAsia="en-US"/>
    </w:rPr>
  </w:style>
  <w:style w:type="paragraph" w:styleId="aa">
    <w:name w:val="List Paragraph"/>
    <w:basedOn w:val="a"/>
    <w:link w:val="ab"/>
    <w:uiPriority w:val="34"/>
    <w:qFormat/>
    <w:rsid w:val="00541641"/>
    <w:pPr>
      <w:ind w:firstLineChars="200" w:firstLine="420"/>
    </w:pPr>
    <w:rPr>
      <w:rFonts w:ascii="Calibri" w:eastAsia="宋体" w:hAnsi="Calibri" w:cs="Times New Roman"/>
      <w:sz w:val="21"/>
      <w:szCs w:val="22"/>
    </w:rPr>
  </w:style>
  <w:style w:type="character" w:customStyle="1" w:styleId="ab">
    <w:name w:val="列表段落 字符"/>
    <w:link w:val="aa"/>
    <w:uiPriority w:val="34"/>
    <w:qFormat/>
    <w:locked/>
    <w:rsid w:val="00541641"/>
    <w:rPr>
      <w:rFonts w:ascii="Calibri" w:eastAsia="宋体" w:hAnsi="Calibri" w:cs="Times New Roman"/>
      <w:sz w:val="21"/>
      <w:szCs w:val="22"/>
    </w:rPr>
  </w:style>
  <w:style w:type="character" w:customStyle="1" w:styleId="60">
    <w:name w:val="标题 6 字符"/>
    <w:basedOn w:val="a0"/>
    <w:link w:val="6"/>
    <w:uiPriority w:val="9"/>
    <w:rsid w:val="00AD031B"/>
    <w:rPr>
      <w:rFonts w:asciiTheme="majorHAnsi" w:eastAsiaTheme="majorEastAsia" w:hAnsiTheme="majorHAnsi" w:cstheme="majorBidi"/>
      <w:color w:val="1F3763" w:themeColor="accent1" w:themeShade="7F"/>
    </w:rPr>
  </w:style>
  <w:style w:type="paragraph" w:customStyle="1" w:styleId="PL">
    <w:name w:val="PL"/>
    <w:link w:val="PLChar"/>
    <w:qFormat/>
    <w:rsid w:val="00C57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57EB4"/>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rsid w:val="00C57EB4"/>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Cs w:val="20"/>
      <w:lang w:val="en-GB" w:eastAsia="ja-JP"/>
    </w:rPr>
  </w:style>
  <w:style w:type="character" w:customStyle="1" w:styleId="THChar">
    <w:name w:val="TH Char"/>
    <w:link w:val="TH"/>
    <w:qFormat/>
    <w:rsid w:val="00C57EB4"/>
    <w:rPr>
      <w:rFonts w:ascii="Arial" w:eastAsia="Times New Roman" w:hAnsi="Arial" w:cs="Times New Roman"/>
      <w:b/>
      <w:kern w:val="0"/>
      <w:szCs w:val="20"/>
      <w:lang w:val="en-GB" w:eastAsia="ja-JP"/>
    </w:rPr>
  </w:style>
  <w:style w:type="paragraph" w:styleId="ac">
    <w:name w:val="Balloon Text"/>
    <w:basedOn w:val="a"/>
    <w:link w:val="ad"/>
    <w:uiPriority w:val="99"/>
    <w:semiHidden/>
    <w:unhideWhenUsed/>
    <w:rsid w:val="00C57EB4"/>
    <w:rPr>
      <w:rFonts w:ascii="Microsoft YaHei UI" w:eastAsia="Microsoft YaHei UI"/>
      <w:sz w:val="18"/>
      <w:szCs w:val="18"/>
    </w:rPr>
  </w:style>
  <w:style w:type="character" w:customStyle="1" w:styleId="ad">
    <w:name w:val="批注框文本 字符"/>
    <w:basedOn w:val="a0"/>
    <w:link w:val="ac"/>
    <w:uiPriority w:val="99"/>
    <w:semiHidden/>
    <w:rsid w:val="00C57EB4"/>
    <w:rPr>
      <w:rFonts w:ascii="Microsoft YaHei UI" w:eastAsia="Microsoft YaHei UI"/>
      <w:sz w:val="18"/>
      <w:szCs w:val="18"/>
    </w:rPr>
  </w:style>
  <w:style w:type="paragraph" w:customStyle="1" w:styleId="TAL">
    <w:name w:val="TAL"/>
    <w:basedOn w:val="a"/>
    <w:link w:val="TALCar"/>
    <w:qFormat/>
    <w:rsid w:val="008A52CB"/>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8A52CB"/>
    <w:rPr>
      <w:rFonts w:ascii="Arial" w:eastAsia="Times New Roman" w:hAnsi="Arial" w:cs="Times New Roman"/>
      <w:kern w:val="0"/>
      <w:sz w:val="18"/>
      <w:szCs w:val="20"/>
      <w:lang w:val="en-GB" w:eastAsia="ja-JP"/>
    </w:rPr>
  </w:style>
  <w:style w:type="paragraph" w:customStyle="1" w:styleId="TAH">
    <w:name w:val="TAH"/>
    <w:basedOn w:val="a"/>
    <w:link w:val="TAHCar"/>
    <w:qFormat/>
    <w:rsid w:val="008A52CB"/>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eastAsia="ja-JP"/>
    </w:rPr>
  </w:style>
  <w:style w:type="character" w:customStyle="1" w:styleId="TAHCar">
    <w:name w:val="TAH Car"/>
    <w:link w:val="TAH"/>
    <w:qFormat/>
    <w:locked/>
    <w:rsid w:val="008A52CB"/>
    <w:rPr>
      <w:rFonts w:ascii="Arial" w:eastAsia="Times New Roman" w:hAnsi="Arial" w:cs="Times New Roman"/>
      <w:b/>
      <w:kern w:val="0"/>
      <w:sz w:val="18"/>
      <w:szCs w:val="20"/>
      <w:lang w:val="en-GB" w:eastAsia="ja-JP"/>
    </w:rPr>
  </w:style>
  <w:style w:type="character" w:styleId="ae">
    <w:name w:val="annotation reference"/>
    <w:basedOn w:val="a0"/>
    <w:uiPriority w:val="99"/>
    <w:semiHidden/>
    <w:unhideWhenUsed/>
    <w:rsid w:val="002C4919"/>
    <w:rPr>
      <w:sz w:val="21"/>
      <w:szCs w:val="21"/>
    </w:rPr>
  </w:style>
  <w:style w:type="paragraph" w:styleId="af">
    <w:name w:val="annotation text"/>
    <w:basedOn w:val="a"/>
    <w:link w:val="af0"/>
    <w:uiPriority w:val="99"/>
    <w:semiHidden/>
    <w:unhideWhenUsed/>
    <w:rsid w:val="002C4919"/>
    <w:pPr>
      <w:jc w:val="left"/>
    </w:pPr>
  </w:style>
  <w:style w:type="character" w:customStyle="1" w:styleId="af0">
    <w:name w:val="批注文字 字符"/>
    <w:basedOn w:val="a0"/>
    <w:link w:val="af"/>
    <w:uiPriority w:val="99"/>
    <w:semiHidden/>
    <w:rsid w:val="002C4919"/>
  </w:style>
  <w:style w:type="paragraph" w:styleId="af1">
    <w:name w:val="annotation subject"/>
    <w:basedOn w:val="af"/>
    <w:next w:val="af"/>
    <w:link w:val="af2"/>
    <w:uiPriority w:val="99"/>
    <w:semiHidden/>
    <w:unhideWhenUsed/>
    <w:rsid w:val="002C4919"/>
    <w:rPr>
      <w:b/>
      <w:bCs/>
    </w:rPr>
  </w:style>
  <w:style w:type="character" w:customStyle="1" w:styleId="af2">
    <w:name w:val="批注主题 字符"/>
    <w:basedOn w:val="af0"/>
    <w:link w:val="af1"/>
    <w:uiPriority w:val="99"/>
    <w:semiHidden/>
    <w:rsid w:val="002C4919"/>
    <w:rPr>
      <w:b/>
      <w:bCs/>
    </w:rPr>
  </w:style>
  <w:style w:type="character" w:customStyle="1" w:styleId="af3">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4"/>
    <w:rsid w:val="002E426F"/>
    <w:rPr>
      <w:lang w:val="en-GB" w:eastAsia="en-US"/>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af3"/>
    <w:qFormat/>
    <w:rsid w:val="002E426F"/>
    <w:pPr>
      <w:widowControl/>
      <w:overflowPunct w:val="0"/>
      <w:autoSpaceDE w:val="0"/>
      <w:autoSpaceDN w:val="0"/>
      <w:adjustRightInd w:val="0"/>
      <w:spacing w:before="120" w:after="120"/>
      <w:jc w:val="left"/>
      <w:textAlignment w:val="baseline"/>
    </w:pPr>
    <w:rPr>
      <w:lang w:val="en-GB" w:eastAsia="en-US"/>
    </w:rPr>
  </w:style>
  <w:style w:type="paragraph" w:customStyle="1" w:styleId="B2">
    <w:name w:val="B2"/>
    <w:basedOn w:val="21"/>
    <w:link w:val="B2Char"/>
    <w:qFormat/>
    <w:rsid w:val="002E426F"/>
    <w:pPr>
      <w:widowControl/>
      <w:overflowPunct w:val="0"/>
      <w:autoSpaceDE w:val="0"/>
      <w:autoSpaceDN w:val="0"/>
      <w:adjustRightInd w:val="0"/>
      <w:spacing w:after="180"/>
      <w:ind w:left="851" w:hanging="284"/>
      <w:contextualSpacing w:val="0"/>
      <w:jc w:val="left"/>
      <w:textAlignment w:val="baseline"/>
    </w:pPr>
    <w:rPr>
      <w:rFonts w:eastAsia="Times New Roman" w:cs="Times New Roman"/>
      <w:kern w:val="0"/>
      <w:szCs w:val="20"/>
      <w:lang w:val="en-GB" w:eastAsia="ja-JP"/>
    </w:rPr>
  </w:style>
  <w:style w:type="character" w:customStyle="1" w:styleId="B2Char">
    <w:name w:val="B2 Char"/>
    <w:link w:val="B2"/>
    <w:qFormat/>
    <w:rsid w:val="002E426F"/>
    <w:rPr>
      <w:rFonts w:eastAsia="Times New Roman" w:cs="Times New Roman"/>
      <w:kern w:val="0"/>
      <w:szCs w:val="20"/>
      <w:lang w:val="en-GB" w:eastAsia="ja-JP"/>
    </w:rPr>
  </w:style>
  <w:style w:type="paragraph" w:styleId="21">
    <w:name w:val="List 2"/>
    <w:basedOn w:val="a"/>
    <w:uiPriority w:val="99"/>
    <w:semiHidden/>
    <w:unhideWhenUsed/>
    <w:rsid w:val="002E426F"/>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7485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779</Words>
  <Characters>4443</Characters>
  <Application>Microsoft Office Word</Application>
  <DocSecurity>0</DocSecurity>
  <Lines>37</Lines>
  <Paragraphs>10</Paragraphs>
  <ScaleCrop>false</ScaleCrop>
  <Company/>
  <LinksUpToDate>false</LinksUpToDate>
  <CharactersWithSpaces>5212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vivo(Jianhui)</cp:lastModifiedBy>
  <cp:revision>5</cp:revision>
  <dcterms:created xsi:type="dcterms:W3CDTF">2023-05-12T08:02:00Z</dcterms:created>
  <dcterms:modified xsi:type="dcterms:W3CDTF">2023-05-12T08:09:00Z</dcterms:modified>
</cp:coreProperties>
</file>